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42AA8" w:rsidRDefault="00C91EA2" w:rsidP="00C91EA2">
      <w:pPr>
        <w:jc w:val="both"/>
        <w:rPr>
          <w:rFonts w:ascii="Arial" w:eastAsia="Arial" w:hAnsi="Arial" w:cs="Arial"/>
          <w:sz w:val="24"/>
          <w:szCs w:val="24"/>
        </w:rPr>
      </w:pPr>
      <w:r>
        <w:rPr>
          <w:rFonts w:ascii="Arial" w:eastAsia="Arial" w:hAnsi="Arial" w:cs="Arial"/>
          <w:sz w:val="24"/>
          <w:szCs w:val="24"/>
        </w:rPr>
        <w:t>Del trauma al síntoma</w:t>
      </w:r>
    </w:p>
    <w:p w14:paraId="00000002" w14:textId="77777777" w:rsidR="00D42AA8" w:rsidRDefault="00C91EA2" w:rsidP="00C91EA2">
      <w:pPr>
        <w:jc w:val="both"/>
        <w:rPr>
          <w:rFonts w:ascii="Arial" w:eastAsia="Arial" w:hAnsi="Arial" w:cs="Arial"/>
          <w:sz w:val="24"/>
          <w:szCs w:val="24"/>
        </w:rPr>
      </w:pPr>
      <w:r>
        <w:rPr>
          <w:rFonts w:ascii="Arial" w:eastAsia="Arial" w:hAnsi="Arial" w:cs="Arial"/>
          <w:sz w:val="24"/>
          <w:szCs w:val="24"/>
        </w:rPr>
        <w:t xml:space="preserve">Alicia </w:t>
      </w:r>
      <w:proofErr w:type="spellStart"/>
      <w:r>
        <w:rPr>
          <w:rFonts w:ascii="Arial" w:eastAsia="Arial" w:hAnsi="Arial" w:cs="Arial"/>
          <w:sz w:val="24"/>
          <w:szCs w:val="24"/>
        </w:rPr>
        <w:t>Carlsen</w:t>
      </w:r>
      <w:proofErr w:type="spellEnd"/>
    </w:p>
    <w:p w14:paraId="00000003" w14:textId="77777777" w:rsidR="00D42AA8" w:rsidRDefault="00C91EA2" w:rsidP="00C91EA2">
      <w:pPr>
        <w:jc w:val="both"/>
        <w:rPr>
          <w:rFonts w:ascii="Arial" w:eastAsia="Arial" w:hAnsi="Arial" w:cs="Arial"/>
          <w:sz w:val="24"/>
          <w:szCs w:val="24"/>
        </w:rPr>
      </w:pPr>
      <w:r>
        <w:rPr>
          <w:rFonts w:ascii="Arial" w:eastAsia="Arial" w:hAnsi="Arial" w:cs="Arial"/>
          <w:sz w:val="24"/>
          <w:szCs w:val="24"/>
        </w:rPr>
        <w:t>Del trabajo en los módulos, quedan restos fecundos. De ellos, voy a tomar el trauma como ese acontecimiento sorpresivo que irrumpe en la vida de un sujeto, choque de lo real, exceso de libido que produce un desencadenamiento temporal de la estructura y lle</w:t>
      </w:r>
      <w:r>
        <w:rPr>
          <w:rFonts w:ascii="Arial" w:eastAsia="Arial" w:hAnsi="Arial" w:cs="Arial"/>
          <w:sz w:val="24"/>
          <w:szCs w:val="24"/>
        </w:rPr>
        <w:t>va a la consulta con un analista.</w:t>
      </w:r>
    </w:p>
    <w:p w14:paraId="00000004" w14:textId="77777777" w:rsidR="00D42AA8" w:rsidRDefault="00C91EA2" w:rsidP="00C91EA2">
      <w:pPr>
        <w:jc w:val="both"/>
        <w:rPr>
          <w:rFonts w:ascii="Arial" w:eastAsia="Arial" w:hAnsi="Arial" w:cs="Arial"/>
          <w:sz w:val="24"/>
          <w:szCs w:val="24"/>
        </w:rPr>
      </w:pPr>
      <w:r>
        <w:rPr>
          <w:rFonts w:ascii="Arial" w:eastAsia="Arial" w:hAnsi="Arial" w:cs="Arial"/>
          <w:sz w:val="24"/>
          <w:szCs w:val="24"/>
        </w:rPr>
        <w:t>No me refiero al desencadenamiento o a la perplejidad propios de la psicosis, sino a ese automatismo de repetición, como lo más inasimilable, que deja al sujeto devastado por la irrupción del goce del Otro y que se manifie</w:t>
      </w:r>
      <w:r>
        <w:rPr>
          <w:rFonts w:ascii="Arial" w:eastAsia="Arial" w:hAnsi="Arial" w:cs="Arial"/>
          <w:sz w:val="24"/>
          <w:szCs w:val="24"/>
        </w:rPr>
        <w:t>sta, como perplejidad, fenómenos en el cuerpo y muchas veces como ataque de angustia.</w:t>
      </w:r>
    </w:p>
    <w:p w14:paraId="00000005" w14:textId="77777777" w:rsidR="00D42AA8" w:rsidRDefault="00C91EA2" w:rsidP="00C91EA2">
      <w:pPr>
        <w:jc w:val="both"/>
        <w:rPr>
          <w:rFonts w:ascii="Arial" w:eastAsia="Arial" w:hAnsi="Arial" w:cs="Arial"/>
          <w:sz w:val="24"/>
          <w:szCs w:val="24"/>
        </w:rPr>
      </w:pPr>
      <w:r>
        <w:rPr>
          <w:rFonts w:ascii="Arial" w:eastAsia="Arial" w:hAnsi="Arial" w:cs="Arial"/>
          <w:sz w:val="24"/>
          <w:szCs w:val="24"/>
        </w:rPr>
        <w:t xml:space="preserve">El tratamiento analítico de ese </w:t>
      </w:r>
      <w:proofErr w:type="spellStart"/>
      <w:r>
        <w:rPr>
          <w:rFonts w:ascii="Arial" w:eastAsia="Arial" w:hAnsi="Arial" w:cs="Arial"/>
          <w:sz w:val="24"/>
          <w:szCs w:val="24"/>
        </w:rPr>
        <w:t>troumatisme</w:t>
      </w:r>
      <w:proofErr w:type="spellEnd"/>
      <w:r>
        <w:rPr>
          <w:rFonts w:ascii="Arial" w:eastAsia="Arial" w:hAnsi="Arial" w:cs="Arial"/>
          <w:sz w:val="24"/>
          <w:szCs w:val="24"/>
        </w:rPr>
        <w:t>, consistirá en una operación de escritura, que supondrá la localización de un borde en el agujero del trauma y a su vez, un tr</w:t>
      </w:r>
      <w:r>
        <w:rPr>
          <w:rFonts w:ascii="Arial" w:eastAsia="Arial" w:hAnsi="Arial" w:cs="Arial"/>
          <w:sz w:val="24"/>
          <w:szCs w:val="24"/>
        </w:rPr>
        <w:t>abajo con el inconsciente, cuyo resultado será la operación de traducción de algún Uno del inconsciente a esa letra del síntoma.</w:t>
      </w:r>
    </w:p>
    <w:p w14:paraId="00000006" w14:textId="77777777" w:rsidR="00D42AA8" w:rsidRDefault="00C91EA2" w:rsidP="00C91EA2">
      <w:pPr>
        <w:jc w:val="both"/>
        <w:rPr>
          <w:rFonts w:ascii="Arial" w:eastAsia="Arial" w:hAnsi="Arial" w:cs="Arial"/>
          <w:sz w:val="24"/>
          <w:szCs w:val="24"/>
        </w:rPr>
      </w:pPr>
      <w:r>
        <w:rPr>
          <w:rFonts w:ascii="Arial" w:eastAsia="Arial" w:hAnsi="Arial" w:cs="Arial"/>
          <w:sz w:val="24"/>
          <w:szCs w:val="24"/>
        </w:rPr>
        <w:t xml:space="preserve">Esta operación requiere de la presencia del analista que apuntara al restablecimiento de la trama simbólica rota que dificulta </w:t>
      </w:r>
      <w:r>
        <w:rPr>
          <w:rFonts w:ascii="Arial" w:eastAsia="Arial" w:hAnsi="Arial" w:cs="Arial"/>
          <w:sz w:val="24"/>
          <w:szCs w:val="24"/>
        </w:rPr>
        <w:t>la relación del sujeto con la palabra. El analista como partenaire del sujeto, se sitúa en un borde e interviene para precipitar algo de lo que nombra y abrocha sentido, al mismo tiempo que agujerea.</w:t>
      </w:r>
    </w:p>
    <w:p w14:paraId="00000007" w14:textId="77777777" w:rsidR="00D42AA8" w:rsidRDefault="00C91EA2" w:rsidP="00C91EA2">
      <w:pPr>
        <w:jc w:val="both"/>
        <w:rPr>
          <w:rFonts w:ascii="Arial" w:eastAsia="Arial" w:hAnsi="Arial" w:cs="Arial"/>
          <w:sz w:val="24"/>
          <w:szCs w:val="24"/>
        </w:rPr>
      </w:pPr>
      <w:r>
        <w:rPr>
          <w:rFonts w:ascii="Arial" w:eastAsia="Arial" w:hAnsi="Arial" w:cs="Arial"/>
          <w:sz w:val="24"/>
          <w:szCs w:val="24"/>
        </w:rPr>
        <w:t xml:space="preserve">Doble función del analista, como soporte y como trauma, </w:t>
      </w:r>
      <w:r>
        <w:rPr>
          <w:rFonts w:ascii="Arial" w:eastAsia="Arial" w:hAnsi="Arial" w:cs="Arial"/>
          <w:sz w:val="24"/>
          <w:szCs w:val="24"/>
        </w:rPr>
        <w:t>según convenga al tiempo de la experiencia analítica. La presencia del analista-soporte permite la reconstrucción de una trama, allí donde solo había agujero, devastación. Y el analista-trauma posibilitara al sujeto, servirse de su Inconsciente, para encon</w:t>
      </w:r>
      <w:r>
        <w:rPr>
          <w:rFonts w:ascii="Arial" w:eastAsia="Arial" w:hAnsi="Arial" w:cs="Arial"/>
          <w:sz w:val="24"/>
          <w:szCs w:val="24"/>
        </w:rPr>
        <w:t>trar un saber hacer con lo real de ese goce que lo condujo a un análisis.</w:t>
      </w:r>
    </w:p>
    <w:p w14:paraId="00000008" w14:textId="77777777" w:rsidR="00D42AA8" w:rsidRDefault="00C91EA2" w:rsidP="00C91EA2">
      <w:pPr>
        <w:jc w:val="both"/>
        <w:rPr>
          <w:rFonts w:ascii="Arial" w:eastAsia="Arial" w:hAnsi="Arial" w:cs="Arial"/>
          <w:i/>
          <w:sz w:val="24"/>
          <w:szCs w:val="24"/>
        </w:rPr>
      </w:pPr>
      <w:r>
        <w:rPr>
          <w:rFonts w:ascii="Arial" w:eastAsia="Arial" w:hAnsi="Arial" w:cs="Arial"/>
          <w:sz w:val="24"/>
          <w:szCs w:val="24"/>
        </w:rPr>
        <w:t xml:space="preserve">En el testimonio de Graciela </w:t>
      </w:r>
      <w:proofErr w:type="spellStart"/>
      <w:proofErr w:type="gramStart"/>
      <w:r>
        <w:rPr>
          <w:rFonts w:ascii="Arial" w:eastAsia="Arial" w:hAnsi="Arial" w:cs="Arial"/>
          <w:sz w:val="24"/>
          <w:szCs w:val="24"/>
        </w:rPr>
        <w:t>Brodsky</w:t>
      </w:r>
      <w:proofErr w:type="spellEnd"/>
      <w:r>
        <w:rPr>
          <w:rFonts w:ascii="Arial" w:eastAsia="Arial" w:hAnsi="Arial" w:cs="Arial"/>
          <w:sz w:val="24"/>
          <w:szCs w:val="24"/>
        </w:rPr>
        <w:t>,(</w:t>
      </w:r>
      <w:proofErr w:type="gramEnd"/>
      <w:r>
        <w:rPr>
          <w:rFonts w:ascii="Arial" w:eastAsia="Arial" w:hAnsi="Arial" w:cs="Arial"/>
          <w:sz w:val="24"/>
          <w:szCs w:val="24"/>
        </w:rPr>
        <w:t>1) encontramos relatado con la claridad que la caracteriza, esta función del analista-soporte. Dice Graciela, “</w:t>
      </w:r>
      <w:r>
        <w:rPr>
          <w:rFonts w:ascii="Arial" w:eastAsia="Arial" w:hAnsi="Arial" w:cs="Arial"/>
          <w:i/>
          <w:sz w:val="24"/>
          <w:szCs w:val="24"/>
        </w:rPr>
        <w:t>tengo la primera</w:t>
      </w:r>
      <w:r>
        <w:rPr>
          <w:rFonts w:ascii="Arial" w:eastAsia="Arial" w:hAnsi="Arial" w:cs="Arial"/>
          <w:sz w:val="24"/>
          <w:szCs w:val="24"/>
        </w:rPr>
        <w:t xml:space="preserve"> </w:t>
      </w:r>
      <w:r>
        <w:rPr>
          <w:rFonts w:ascii="Arial" w:eastAsia="Arial" w:hAnsi="Arial" w:cs="Arial"/>
          <w:i/>
          <w:sz w:val="24"/>
          <w:szCs w:val="24"/>
        </w:rPr>
        <w:t>entrevista con e</w:t>
      </w:r>
      <w:r>
        <w:rPr>
          <w:rFonts w:ascii="Arial" w:eastAsia="Arial" w:hAnsi="Arial" w:cs="Arial"/>
          <w:i/>
          <w:sz w:val="24"/>
          <w:szCs w:val="24"/>
        </w:rPr>
        <w:t>l tercer analista y repito que soy hija única</w:t>
      </w:r>
      <w:r>
        <w:rPr>
          <w:rFonts w:ascii="Arial" w:eastAsia="Arial" w:hAnsi="Arial" w:cs="Arial"/>
          <w:sz w:val="24"/>
          <w:szCs w:val="24"/>
        </w:rPr>
        <w:t>-</w:t>
      </w:r>
      <w:proofErr w:type="spellStart"/>
      <w:r>
        <w:rPr>
          <w:rFonts w:ascii="Arial" w:eastAsia="Arial" w:hAnsi="Arial" w:cs="Arial"/>
          <w:sz w:val="24"/>
          <w:szCs w:val="24"/>
        </w:rPr>
        <w:t>sgte</w:t>
      </w:r>
      <w:proofErr w:type="spellEnd"/>
      <w:r>
        <w:rPr>
          <w:rFonts w:ascii="Arial" w:eastAsia="Arial" w:hAnsi="Arial" w:cs="Arial"/>
          <w:sz w:val="24"/>
          <w:szCs w:val="24"/>
        </w:rPr>
        <w:t xml:space="preserve"> amo que aparece como </w:t>
      </w:r>
      <w:proofErr w:type="spellStart"/>
      <w:r>
        <w:rPr>
          <w:rFonts w:ascii="Arial" w:eastAsia="Arial" w:hAnsi="Arial" w:cs="Arial"/>
          <w:sz w:val="24"/>
          <w:szCs w:val="24"/>
        </w:rPr>
        <w:t>agalma</w:t>
      </w:r>
      <w:proofErr w:type="spellEnd"/>
      <w:r>
        <w:rPr>
          <w:rFonts w:ascii="Arial" w:eastAsia="Arial" w:hAnsi="Arial" w:cs="Arial"/>
          <w:sz w:val="24"/>
          <w:szCs w:val="24"/>
        </w:rPr>
        <w:t xml:space="preserve"> o como el dolor de ya no ser, al final-, </w:t>
      </w:r>
      <w:r>
        <w:rPr>
          <w:rFonts w:ascii="Arial" w:eastAsia="Arial" w:hAnsi="Arial" w:cs="Arial"/>
          <w:i/>
          <w:sz w:val="24"/>
          <w:szCs w:val="24"/>
        </w:rPr>
        <w:t>es porque todavía estoy bajo el impacto de esa interpretación que convirtió en “un presente griego” mi certeza de haber sido un regalo c</w:t>
      </w:r>
      <w:r>
        <w:rPr>
          <w:rFonts w:ascii="Arial" w:eastAsia="Arial" w:hAnsi="Arial" w:cs="Arial"/>
          <w:i/>
          <w:sz w:val="24"/>
          <w:szCs w:val="24"/>
        </w:rPr>
        <w:t>aído del cielo para mis padres, y porque quiero asegurarme de que el analista escuchase bien que con eso no había que meterse. Y lo repito tres veces por si es un poco duro de oído. Su interpretación: “ya me lo dijiste tres veces, lo coloca de entrada fuer</w:t>
      </w:r>
      <w:r>
        <w:rPr>
          <w:rFonts w:ascii="Arial" w:eastAsia="Arial" w:hAnsi="Arial" w:cs="Arial"/>
          <w:i/>
          <w:sz w:val="24"/>
          <w:szCs w:val="24"/>
        </w:rPr>
        <w:t>a de la esfera de la sordera materna, y es así como ese significante de la transferencia encuentra el partenaire que le conviene: el que lo escucha, el que lo interpreta de entrada, que no lo vuelve a mencionar durante los diez años de ese primer tramo del</w:t>
      </w:r>
      <w:r>
        <w:rPr>
          <w:rFonts w:ascii="Arial" w:eastAsia="Arial" w:hAnsi="Arial" w:cs="Arial"/>
          <w:i/>
          <w:sz w:val="24"/>
          <w:szCs w:val="24"/>
        </w:rPr>
        <w:t xml:space="preserve"> análisis y el que se presta para encarnar el semblante que me permite creerme la única sin perturbar ese S1 al cual estaba aferrada…..el analista fue un partenaire que se enlazo “</w:t>
      </w:r>
      <w:proofErr w:type="spellStart"/>
      <w:r>
        <w:rPr>
          <w:rFonts w:ascii="Arial" w:eastAsia="Arial" w:hAnsi="Arial" w:cs="Arial"/>
          <w:i/>
          <w:sz w:val="24"/>
          <w:szCs w:val="24"/>
        </w:rPr>
        <w:t>sinthomaticamente</w:t>
      </w:r>
      <w:proofErr w:type="spellEnd"/>
      <w:r>
        <w:rPr>
          <w:rFonts w:ascii="Arial" w:eastAsia="Arial" w:hAnsi="Arial" w:cs="Arial"/>
          <w:i/>
          <w:sz w:val="24"/>
          <w:szCs w:val="24"/>
        </w:rPr>
        <w:t>” con mi goce de ser la única……y que clase de lazo es la tr</w:t>
      </w:r>
      <w:r>
        <w:rPr>
          <w:rFonts w:ascii="Arial" w:eastAsia="Arial" w:hAnsi="Arial" w:cs="Arial"/>
          <w:i/>
          <w:sz w:val="24"/>
          <w:szCs w:val="24"/>
        </w:rPr>
        <w:t xml:space="preserve">ansferencia si no es un lazo </w:t>
      </w:r>
      <w:proofErr w:type="spellStart"/>
      <w:r>
        <w:rPr>
          <w:rFonts w:ascii="Arial" w:eastAsia="Arial" w:hAnsi="Arial" w:cs="Arial"/>
          <w:i/>
          <w:sz w:val="24"/>
          <w:szCs w:val="24"/>
        </w:rPr>
        <w:lastRenderedPageBreak/>
        <w:t>sinthomatico</w:t>
      </w:r>
      <w:proofErr w:type="spellEnd"/>
      <w:r>
        <w:rPr>
          <w:rFonts w:ascii="Arial" w:eastAsia="Arial" w:hAnsi="Arial" w:cs="Arial"/>
          <w:i/>
          <w:sz w:val="24"/>
          <w:szCs w:val="24"/>
        </w:rPr>
        <w:t>, que anuda el goce del sujeto y de su cuerpo, a un partenaire circunstancial”.</w:t>
      </w:r>
    </w:p>
    <w:p w14:paraId="00000009" w14:textId="77777777" w:rsidR="00D42AA8" w:rsidRDefault="00C91EA2" w:rsidP="00C91EA2">
      <w:pPr>
        <w:jc w:val="both"/>
        <w:rPr>
          <w:rFonts w:ascii="Arial" w:eastAsia="Arial" w:hAnsi="Arial" w:cs="Arial"/>
          <w:sz w:val="24"/>
          <w:szCs w:val="24"/>
        </w:rPr>
      </w:pPr>
      <w:r>
        <w:rPr>
          <w:rFonts w:ascii="Arial" w:eastAsia="Arial" w:hAnsi="Arial" w:cs="Arial"/>
          <w:sz w:val="24"/>
          <w:szCs w:val="24"/>
        </w:rPr>
        <w:t xml:space="preserve">También, en la misma línea está la rectificación del estrago producido por el segundo analista; </w:t>
      </w:r>
      <w:r>
        <w:rPr>
          <w:rFonts w:ascii="Arial" w:eastAsia="Arial" w:hAnsi="Arial" w:cs="Arial"/>
          <w:i/>
          <w:sz w:val="24"/>
          <w:szCs w:val="24"/>
        </w:rPr>
        <w:t>“si, un presente griego” a la interpret</w:t>
      </w:r>
      <w:r>
        <w:rPr>
          <w:rFonts w:ascii="Arial" w:eastAsia="Arial" w:hAnsi="Arial" w:cs="Arial"/>
          <w:i/>
          <w:sz w:val="24"/>
          <w:szCs w:val="24"/>
        </w:rPr>
        <w:t>ación “Si</w:t>
      </w:r>
      <w:r>
        <w:rPr>
          <w:rFonts w:ascii="Arial" w:eastAsia="Arial" w:hAnsi="Arial" w:cs="Arial"/>
          <w:sz w:val="24"/>
          <w:szCs w:val="24"/>
        </w:rPr>
        <w:t xml:space="preserve"> </w:t>
      </w:r>
      <w:r>
        <w:rPr>
          <w:rFonts w:ascii="Arial" w:eastAsia="Arial" w:hAnsi="Arial" w:cs="Arial"/>
          <w:i/>
          <w:sz w:val="24"/>
          <w:szCs w:val="24"/>
        </w:rPr>
        <w:t>para tu madre, no para tu padre</w:t>
      </w:r>
      <w:r>
        <w:rPr>
          <w:rFonts w:ascii="Arial" w:eastAsia="Arial" w:hAnsi="Arial" w:cs="Arial"/>
          <w:sz w:val="24"/>
          <w:szCs w:val="24"/>
        </w:rPr>
        <w:t>”, provocando un viraje que permite rectificar la relación con la figura materna.</w:t>
      </w:r>
    </w:p>
    <w:p w14:paraId="0000000A" w14:textId="77777777" w:rsidR="00D42AA8" w:rsidRDefault="00C91EA2" w:rsidP="00C91EA2">
      <w:pPr>
        <w:jc w:val="both"/>
        <w:rPr>
          <w:rFonts w:ascii="Arial" w:eastAsia="Arial" w:hAnsi="Arial" w:cs="Arial"/>
          <w:i/>
          <w:sz w:val="24"/>
          <w:szCs w:val="24"/>
        </w:rPr>
      </w:pPr>
      <w:bookmarkStart w:id="0" w:name="_gjdgxs" w:colFirst="0" w:colLast="0"/>
      <w:bookmarkEnd w:id="0"/>
      <w:r>
        <w:rPr>
          <w:rFonts w:ascii="Arial" w:eastAsia="Arial" w:hAnsi="Arial" w:cs="Arial"/>
          <w:sz w:val="24"/>
          <w:szCs w:val="24"/>
        </w:rPr>
        <w:t xml:space="preserve">En el primer testimonio de K. </w:t>
      </w:r>
      <w:proofErr w:type="spellStart"/>
      <w:r>
        <w:rPr>
          <w:rFonts w:ascii="Arial" w:eastAsia="Arial" w:hAnsi="Arial" w:cs="Arial"/>
          <w:sz w:val="24"/>
          <w:szCs w:val="24"/>
        </w:rPr>
        <w:t>Mildiner</w:t>
      </w:r>
      <w:proofErr w:type="spellEnd"/>
      <w:r>
        <w:rPr>
          <w:rFonts w:ascii="Arial" w:eastAsia="Arial" w:hAnsi="Arial" w:cs="Arial"/>
          <w:sz w:val="24"/>
          <w:szCs w:val="24"/>
        </w:rPr>
        <w:t xml:space="preserve"> (2) en el apartado “El analista trauma” dice “</w:t>
      </w:r>
      <w:r>
        <w:rPr>
          <w:rFonts w:ascii="Arial" w:eastAsia="Arial" w:hAnsi="Arial" w:cs="Arial"/>
          <w:i/>
          <w:sz w:val="24"/>
          <w:szCs w:val="24"/>
        </w:rPr>
        <w:t xml:space="preserve">El pasaje del significante amo al agujero en el </w:t>
      </w:r>
      <w:r>
        <w:rPr>
          <w:rFonts w:ascii="Arial" w:eastAsia="Arial" w:hAnsi="Arial" w:cs="Arial"/>
          <w:i/>
          <w:sz w:val="24"/>
          <w:szCs w:val="24"/>
        </w:rPr>
        <w:t>lenguaje no se hace sin restos</w:t>
      </w:r>
      <w:proofErr w:type="gramStart"/>
      <w:r>
        <w:rPr>
          <w:rFonts w:ascii="Arial" w:eastAsia="Arial" w:hAnsi="Arial" w:cs="Arial"/>
          <w:i/>
          <w:sz w:val="24"/>
          <w:szCs w:val="24"/>
        </w:rPr>
        <w:t>…”Dejar</w:t>
      </w:r>
      <w:proofErr w:type="gramEnd"/>
      <w:r>
        <w:rPr>
          <w:rFonts w:ascii="Arial" w:eastAsia="Arial" w:hAnsi="Arial" w:cs="Arial"/>
          <w:i/>
          <w:sz w:val="24"/>
          <w:szCs w:val="24"/>
        </w:rPr>
        <w:t xml:space="preserve"> de llevar la otra muerta encima”. Fue lo que dije en una sesión que duro lo que esa frase. La sesión más corta de mi </w:t>
      </w:r>
      <w:proofErr w:type="gramStart"/>
      <w:r>
        <w:rPr>
          <w:rFonts w:ascii="Arial" w:eastAsia="Arial" w:hAnsi="Arial" w:cs="Arial"/>
          <w:i/>
          <w:sz w:val="24"/>
          <w:szCs w:val="24"/>
        </w:rPr>
        <w:t>análisis….</w:t>
      </w:r>
      <w:proofErr w:type="gramEnd"/>
      <w:r>
        <w:rPr>
          <w:rFonts w:ascii="Arial" w:eastAsia="Arial" w:hAnsi="Arial" w:cs="Arial"/>
          <w:i/>
          <w:sz w:val="24"/>
          <w:szCs w:val="24"/>
        </w:rPr>
        <w:t>Veo a un analista que se duerme, al menos eso me parece; reaparece la lógica que me hace se</w:t>
      </w:r>
      <w:r>
        <w:rPr>
          <w:rFonts w:ascii="Arial" w:eastAsia="Arial" w:hAnsi="Arial" w:cs="Arial"/>
          <w:i/>
          <w:sz w:val="24"/>
          <w:szCs w:val="24"/>
        </w:rPr>
        <w:t xml:space="preserve">ntir excluida, rechazada. Definitivamente lo aburro. Me despido, le doy la mano, y me extiende esa mano de nada, de nadie…...y allí aparece nuevamente, pero de otro modo, la figura de alguien a quien se le descompone el cuerpo, como si se le hinchara, esa </w:t>
      </w:r>
      <w:r>
        <w:rPr>
          <w:rFonts w:ascii="Arial" w:eastAsia="Arial" w:hAnsi="Arial" w:cs="Arial"/>
          <w:i/>
          <w:sz w:val="24"/>
          <w:szCs w:val="24"/>
        </w:rPr>
        <w:t>pura presencia del cuerpo que se me venía presentado con tanta fuerza los últimos tiempos. Presencia de lo traumático, de la muerte temprana de mi abuela, de la que llevo el nombre y con el que he cargado al modo del ideal de la mujer eterna para un hombre</w:t>
      </w:r>
      <w:r>
        <w:rPr>
          <w:rFonts w:ascii="Arial" w:eastAsia="Arial" w:hAnsi="Arial" w:cs="Arial"/>
          <w:i/>
          <w:sz w:val="24"/>
          <w:szCs w:val="24"/>
        </w:rPr>
        <w:t>.</w:t>
      </w:r>
    </w:p>
    <w:p w14:paraId="0000000B" w14:textId="77777777" w:rsidR="00D42AA8" w:rsidRDefault="00C91EA2" w:rsidP="00C91EA2">
      <w:pPr>
        <w:jc w:val="both"/>
        <w:rPr>
          <w:rFonts w:ascii="Arial" w:eastAsia="Arial" w:hAnsi="Arial" w:cs="Arial"/>
          <w:i/>
          <w:sz w:val="24"/>
          <w:szCs w:val="24"/>
        </w:rPr>
      </w:pPr>
      <w:r>
        <w:rPr>
          <w:rFonts w:ascii="Arial" w:eastAsia="Arial" w:hAnsi="Arial" w:cs="Arial"/>
          <w:i/>
          <w:sz w:val="24"/>
          <w:szCs w:val="24"/>
        </w:rPr>
        <w:t>El analista representaba el acontecimiento corporal, semblante de traumatismo. Había hecho mucho para</w:t>
      </w:r>
      <w:bookmarkStart w:id="1" w:name="_GoBack"/>
      <w:bookmarkEnd w:id="1"/>
      <w:r>
        <w:rPr>
          <w:rFonts w:ascii="Arial" w:eastAsia="Arial" w:hAnsi="Arial" w:cs="Arial"/>
          <w:i/>
          <w:sz w:val="24"/>
          <w:szCs w:val="24"/>
        </w:rPr>
        <w:t xml:space="preserve"> ser tomado por un trozo de real.”</w:t>
      </w:r>
    </w:p>
    <w:p w14:paraId="0000000C" w14:textId="77777777" w:rsidR="00D42AA8" w:rsidRDefault="00C91EA2" w:rsidP="00C91EA2">
      <w:pPr>
        <w:jc w:val="both"/>
        <w:rPr>
          <w:rFonts w:ascii="Arial" w:eastAsia="Arial" w:hAnsi="Arial" w:cs="Arial"/>
          <w:sz w:val="24"/>
          <w:szCs w:val="24"/>
        </w:rPr>
      </w:pPr>
      <w:r>
        <w:rPr>
          <w:rFonts w:ascii="Arial" w:eastAsia="Arial" w:hAnsi="Arial" w:cs="Arial"/>
          <w:sz w:val="24"/>
          <w:szCs w:val="24"/>
        </w:rPr>
        <w:t>Hasta aquí. Muchas Gracias.</w:t>
      </w:r>
    </w:p>
    <w:p w14:paraId="0000000D" w14:textId="77777777" w:rsidR="00D42AA8" w:rsidRDefault="00D42AA8" w:rsidP="00C91EA2">
      <w:pPr>
        <w:jc w:val="both"/>
        <w:rPr>
          <w:rFonts w:ascii="Arial" w:eastAsia="Arial" w:hAnsi="Arial" w:cs="Arial"/>
          <w:sz w:val="24"/>
          <w:szCs w:val="24"/>
        </w:rPr>
      </w:pPr>
    </w:p>
    <w:p w14:paraId="0000000E" w14:textId="77777777" w:rsidR="00D42AA8" w:rsidRDefault="00D42AA8" w:rsidP="00C91EA2">
      <w:pPr>
        <w:jc w:val="both"/>
        <w:rPr>
          <w:rFonts w:ascii="Arial" w:eastAsia="Arial" w:hAnsi="Arial" w:cs="Arial"/>
          <w:sz w:val="24"/>
          <w:szCs w:val="24"/>
        </w:rPr>
      </w:pPr>
    </w:p>
    <w:p w14:paraId="0000000F" w14:textId="77777777" w:rsidR="00D42AA8" w:rsidRDefault="00D42AA8" w:rsidP="00C91EA2">
      <w:pPr>
        <w:jc w:val="both"/>
        <w:rPr>
          <w:rFonts w:ascii="Arial" w:eastAsia="Arial" w:hAnsi="Arial" w:cs="Arial"/>
          <w:sz w:val="24"/>
          <w:szCs w:val="24"/>
        </w:rPr>
      </w:pPr>
    </w:p>
    <w:p w14:paraId="00000010" w14:textId="77777777" w:rsidR="00D42AA8" w:rsidRDefault="00D42AA8" w:rsidP="00C91EA2">
      <w:pPr>
        <w:jc w:val="both"/>
        <w:rPr>
          <w:rFonts w:ascii="Arial" w:eastAsia="Arial" w:hAnsi="Arial" w:cs="Arial"/>
          <w:sz w:val="24"/>
          <w:szCs w:val="24"/>
        </w:rPr>
      </w:pPr>
    </w:p>
    <w:p w14:paraId="00000011" w14:textId="77777777" w:rsidR="00D42AA8" w:rsidRDefault="00D42AA8" w:rsidP="00C91EA2">
      <w:pPr>
        <w:jc w:val="both"/>
        <w:rPr>
          <w:rFonts w:ascii="Arial" w:eastAsia="Arial" w:hAnsi="Arial" w:cs="Arial"/>
          <w:sz w:val="24"/>
          <w:szCs w:val="24"/>
        </w:rPr>
      </w:pPr>
    </w:p>
    <w:p w14:paraId="00000012" w14:textId="77777777" w:rsidR="00D42AA8" w:rsidRDefault="00D42AA8" w:rsidP="00C91EA2">
      <w:pPr>
        <w:jc w:val="both"/>
        <w:rPr>
          <w:rFonts w:ascii="Arial" w:eastAsia="Arial" w:hAnsi="Arial" w:cs="Arial"/>
          <w:sz w:val="24"/>
          <w:szCs w:val="24"/>
        </w:rPr>
      </w:pPr>
    </w:p>
    <w:p w14:paraId="00000013" w14:textId="77777777" w:rsidR="00D42AA8" w:rsidRDefault="00D42AA8" w:rsidP="00C91EA2">
      <w:pPr>
        <w:jc w:val="both"/>
        <w:rPr>
          <w:rFonts w:ascii="Arial" w:eastAsia="Arial" w:hAnsi="Arial" w:cs="Arial"/>
          <w:sz w:val="24"/>
          <w:szCs w:val="24"/>
        </w:rPr>
      </w:pPr>
    </w:p>
    <w:p w14:paraId="00000014" w14:textId="77777777" w:rsidR="00D42AA8" w:rsidRDefault="00D42AA8" w:rsidP="00C91EA2">
      <w:pPr>
        <w:jc w:val="both"/>
        <w:rPr>
          <w:rFonts w:ascii="Arial" w:eastAsia="Arial" w:hAnsi="Arial" w:cs="Arial"/>
          <w:sz w:val="24"/>
          <w:szCs w:val="24"/>
        </w:rPr>
      </w:pPr>
    </w:p>
    <w:p w14:paraId="00000015" w14:textId="77777777" w:rsidR="00D42AA8" w:rsidRDefault="00C91EA2" w:rsidP="00C91EA2">
      <w:pPr>
        <w:jc w:val="both"/>
        <w:rPr>
          <w:rFonts w:ascii="Arial" w:eastAsia="Arial" w:hAnsi="Arial" w:cs="Arial"/>
          <w:sz w:val="24"/>
          <w:szCs w:val="24"/>
        </w:rPr>
      </w:pPr>
      <w:r>
        <w:rPr>
          <w:rFonts w:ascii="Arial" w:eastAsia="Arial" w:hAnsi="Arial" w:cs="Arial"/>
          <w:sz w:val="24"/>
          <w:szCs w:val="24"/>
        </w:rPr>
        <w:t>Notas</w:t>
      </w:r>
    </w:p>
    <w:p w14:paraId="00000016" w14:textId="77777777" w:rsidR="00D42AA8" w:rsidRDefault="00C91EA2" w:rsidP="00C91EA2">
      <w:pPr>
        <w:jc w:val="both"/>
        <w:rPr>
          <w:rFonts w:ascii="Arial" w:eastAsia="Arial" w:hAnsi="Arial" w:cs="Arial"/>
          <w:sz w:val="24"/>
          <w:szCs w:val="24"/>
        </w:rPr>
      </w:pPr>
      <w:proofErr w:type="spellStart"/>
      <w:r>
        <w:rPr>
          <w:rFonts w:ascii="Arial" w:eastAsia="Arial" w:hAnsi="Arial" w:cs="Arial"/>
          <w:sz w:val="24"/>
          <w:szCs w:val="24"/>
        </w:rPr>
        <w:t>Brodsky</w:t>
      </w:r>
      <w:proofErr w:type="spellEnd"/>
      <w:r>
        <w:rPr>
          <w:rFonts w:ascii="Arial" w:eastAsia="Arial" w:hAnsi="Arial" w:cs="Arial"/>
          <w:sz w:val="24"/>
          <w:szCs w:val="24"/>
        </w:rPr>
        <w:t>, Graciela: “Partenaires”. Testimonio presentado en las Noches del Pa</w:t>
      </w:r>
      <w:r>
        <w:rPr>
          <w:rFonts w:ascii="Arial" w:eastAsia="Arial" w:hAnsi="Arial" w:cs="Arial"/>
          <w:sz w:val="24"/>
          <w:szCs w:val="24"/>
        </w:rPr>
        <w:t>se de la EOL, 7 de agosto de 2012 y publicado en revista “</w:t>
      </w:r>
      <w:proofErr w:type="spellStart"/>
      <w:r>
        <w:rPr>
          <w:rFonts w:ascii="Arial" w:eastAsia="Arial" w:hAnsi="Arial" w:cs="Arial"/>
          <w:sz w:val="24"/>
          <w:szCs w:val="24"/>
        </w:rPr>
        <w:t>Lacaniana</w:t>
      </w:r>
      <w:proofErr w:type="spellEnd"/>
      <w:r>
        <w:rPr>
          <w:rFonts w:ascii="Arial" w:eastAsia="Arial" w:hAnsi="Arial" w:cs="Arial"/>
          <w:sz w:val="24"/>
          <w:szCs w:val="24"/>
        </w:rPr>
        <w:t>”. N° 13</w:t>
      </w:r>
    </w:p>
    <w:p w14:paraId="00000017" w14:textId="77777777" w:rsidR="00D42AA8" w:rsidRDefault="00C91EA2" w:rsidP="00C91EA2">
      <w:pPr>
        <w:jc w:val="both"/>
        <w:rPr>
          <w:rFonts w:ascii="Arial" w:eastAsia="Arial" w:hAnsi="Arial" w:cs="Arial"/>
          <w:sz w:val="24"/>
          <w:szCs w:val="24"/>
        </w:rPr>
      </w:pPr>
      <w:proofErr w:type="spellStart"/>
      <w:r>
        <w:rPr>
          <w:rFonts w:ascii="Arial" w:eastAsia="Arial" w:hAnsi="Arial" w:cs="Arial"/>
          <w:sz w:val="24"/>
          <w:szCs w:val="24"/>
        </w:rPr>
        <w:t>Mildiner</w:t>
      </w:r>
      <w:proofErr w:type="spellEnd"/>
      <w:r>
        <w:rPr>
          <w:rFonts w:ascii="Arial" w:eastAsia="Arial" w:hAnsi="Arial" w:cs="Arial"/>
          <w:sz w:val="24"/>
          <w:szCs w:val="24"/>
        </w:rPr>
        <w:t xml:space="preserve">, </w:t>
      </w:r>
      <w:proofErr w:type="spellStart"/>
      <w:r>
        <w:rPr>
          <w:rFonts w:ascii="Arial" w:eastAsia="Arial" w:hAnsi="Arial" w:cs="Arial"/>
          <w:sz w:val="24"/>
          <w:szCs w:val="24"/>
        </w:rPr>
        <w:t>Kuky</w:t>
      </w:r>
      <w:proofErr w:type="spellEnd"/>
      <w:r>
        <w:rPr>
          <w:rFonts w:ascii="Arial" w:eastAsia="Arial" w:hAnsi="Arial" w:cs="Arial"/>
          <w:sz w:val="24"/>
          <w:szCs w:val="24"/>
        </w:rPr>
        <w:t>. “Primer testimonio”. 7 de Julio de 2015 en la EOL y publicado en revista “</w:t>
      </w:r>
      <w:proofErr w:type="spellStart"/>
      <w:r>
        <w:rPr>
          <w:rFonts w:ascii="Arial" w:eastAsia="Arial" w:hAnsi="Arial" w:cs="Arial"/>
          <w:sz w:val="24"/>
          <w:szCs w:val="24"/>
        </w:rPr>
        <w:t>Lacaniana</w:t>
      </w:r>
      <w:proofErr w:type="spellEnd"/>
      <w:r>
        <w:rPr>
          <w:rFonts w:ascii="Arial" w:eastAsia="Arial" w:hAnsi="Arial" w:cs="Arial"/>
          <w:sz w:val="24"/>
          <w:szCs w:val="24"/>
        </w:rPr>
        <w:t>”. N° 19</w:t>
      </w:r>
    </w:p>
    <w:sectPr w:rsidR="00D42AA8">
      <w:pgSz w:w="12240" w:h="15840"/>
      <w:pgMar w:top="1418" w:right="1701" w:bottom="1418"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A8"/>
    <w:rsid w:val="00C91EA2"/>
    <w:rsid w:val="00D42AA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758FBD-D6FB-4827-A2A2-16164F973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703</Words>
  <Characters>3870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Hernán Mendizabal</dc:creator>
  <cp:lastModifiedBy>Hernán Mendizabal</cp:lastModifiedBy>
  <cp:revision>2</cp:revision>
  <dcterms:created xsi:type="dcterms:W3CDTF">2020-12-21T16:06:00Z</dcterms:created>
  <dcterms:modified xsi:type="dcterms:W3CDTF">2020-12-21T16:06:00Z</dcterms:modified>
</cp:coreProperties>
</file>