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936B0E" w14:textId="1E814721" w:rsidR="002A51EB" w:rsidRDefault="006736C0">
      <w:bookmarkStart w:id="0" w:name="_GoBack"/>
      <w:bookmarkEnd w:id="0"/>
      <w:r>
        <w:t xml:space="preserve">El acontecimiento de cuerpo en el seminario de Miller </w:t>
      </w:r>
      <w:proofErr w:type="gramStart"/>
      <w:r>
        <w:t>“ la</w:t>
      </w:r>
      <w:proofErr w:type="gramEnd"/>
      <w:r>
        <w:t xml:space="preserve"> experiencia de lo real en la cura psicoanalítica.</w:t>
      </w:r>
    </w:p>
    <w:p w14:paraId="60928092" w14:textId="6F5B5B18" w:rsidR="006736C0" w:rsidRDefault="006736C0"/>
    <w:p w14:paraId="1EC2A3CD" w14:textId="4C52F9C9" w:rsidR="006736C0" w:rsidRDefault="006736C0">
      <w:r>
        <w:t>Partamos de la idea de Miller que acontecimiento de cuerpo es la condensación de dos cosas:</w:t>
      </w:r>
    </w:p>
    <w:p w14:paraId="26457F52" w14:textId="69C7C940" w:rsidR="006736C0" w:rsidRDefault="006736C0" w:rsidP="006736C0">
      <w:r>
        <w:t>-un acontecimiento discursivo</w:t>
      </w:r>
    </w:p>
    <w:p w14:paraId="3080957C" w14:textId="5740BC89" w:rsidR="006736C0" w:rsidRDefault="006736C0" w:rsidP="006736C0">
      <w:r>
        <w:t>-deja una huella en el cuerpo.</w:t>
      </w:r>
    </w:p>
    <w:p w14:paraId="698DB480" w14:textId="0AD90DE4" w:rsidR="006736C0" w:rsidRDefault="006736C0" w:rsidP="006736C0">
      <w:r>
        <w:t xml:space="preserve">En Joyce, el </w:t>
      </w:r>
      <w:proofErr w:type="spellStart"/>
      <w:r>
        <w:t>sinthoma</w:t>
      </w:r>
      <w:proofErr w:type="spellEnd"/>
      <w:r>
        <w:t xml:space="preserve">, por primera vez, Lacan habla de acontecimiento de cuerpo como </w:t>
      </w:r>
      <w:proofErr w:type="spellStart"/>
      <w:r>
        <w:t>sinthoma</w:t>
      </w:r>
      <w:proofErr w:type="spellEnd"/>
      <w:r>
        <w:t xml:space="preserve">, refiriéndose al </w:t>
      </w:r>
      <w:proofErr w:type="gramStart"/>
      <w:r>
        <w:t xml:space="preserve">encuentro  </w:t>
      </w:r>
      <w:proofErr w:type="spellStart"/>
      <w:r>
        <w:t>contigente</w:t>
      </w:r>
      <w:proofErr w:type="spellEnd"/>
      <w:proofErr w:type="gramEnd"/>
      <w:r>
        <w:t xml:space="preserve"> entre el cuerpo y la lengua.  Es un goce </w:t>
      </w:r>
      <w:proofErr w:type="gramStart"/>
      <w:r>
        <w:t>opaco ,</w:t>
      </w:r>
      <w:proofErr w:type="gramEnd"/>
      <w:r>
        <w:t xml:space="preserve"> fuera de toda significación y sentido. Un goce fuera de sentido.  Hay una emergencia de goce en ese choque de la lengua con el cuerpo, que se </w:t>
      </w:r>
      <w:proofErr w:type="gramStart"/>
      <w:r>
        <w:t>siente ,</w:t>
      </w:r>
      <w:proofErr w:type="gramEnd"/>
      <w:r>
        <w:t xml:space="preserve"> se palpita, esto nos liga a la vida. Después viene la palabra</w:t>
      </w:r>
      <w:r w:rsidR="009B1159">
        <w:t xml:space="preserve"> que pasa al decir y al saber posteriormente.</w:t>
      </w:r>
    </w:p>
    <w:p w14:paraId="43F69462" w14:textId="4C403DF8" w:rsidR="009B1159" w:rsidRDefault="009B1159" w:rsidP="006736C0">
      <w:r>
        <w:t xml:space="preserve">El sujeto del significante, dice Miller, está alejado de la vida, como si estuviera muerto. En </w:t>
      </w:r>
      <w:proofErr w:type="gramStart"/>
      <w:r>
        <w:t>cambio</w:t>
      </w:r>
      <w:proofErr w:type="gramEnd"/>
      <w:r>
        <w:t xml:space="preserve"> el individuo está aquejado de la lengua, y de lo que se puede leer ahí. Ese individuo está del lado de la vida.  Pasa Lacan de un sujeto afectado por el </w:t>
      </w:r>
      <w:proofErr w:type="gramStart"/>
      <w:r>
        <w:t>sentido ,</w:t>
      </w:r>
      <w:proofErr w:type="gramEnd"/>
      <w:r>
        <w:t xml:space="preserve"> mortificante a un individuo afectado en un cuerpo . el </w:t>
      </w:r>
      <w:proofErr w:type="spellStart"/>
      <w:r>
        <w:t>Parletre</w:t>
      </w:r>
      <w:proofErr w:type="spellEnd"/>
      <w:r>
        <w:t xml:space="preserve"> es la unión de la lógica significante con la sustancia gozante.  Es el significante que se introduce en el cuerpo produciendo goce.</w:t>
      </w:r>
    </w:p>
    <w:p w14:paraId="579634B9" w14:textId="624C7967" w:rsidR="009B1159" w:rsidRDefault="009B1159" w:rsidP="006736C0">
      <w:r>
        <w:t>También el acontecimiento de cuerpo está ligado al trauma. Acontecimiento traumático que deja un afecto esencial que es el trazo de la lengua sobre el cuerpo con el exceso que no se deja absorber.</w:t>
      </w:r>
    </w:p>
    <w:p w14:paraId="2ADA4D18" w14:textId="5FE4853B" w:rsidR="009B1159" w:rsidRDefault="009B1159" w:rsidP="006736C0">
      <w:r>
        <w:t xml:space="preserve">Para cerrar tomaría de Miller cuando señala, que el </w:t>
      </w:r>
      <w:proofErr w:type="spellStart"/>
      <w:r>
        <w:t>parletre</w:t>
      </w:r>
      <w:proofErr w:type="spellEnd"/>
      <w:r>
        <w:t xml:space="preserve"> tiene dos goces, el goce de la </w:t>
      </w:r>
      <w:proofErr w:type="gramStart"/>
      <w:r>
        <w:t>palabra ,</w:t>
      </w:r>
      <w:proofErr w:type="gramEnd"/>
      <w:r>
        <w:t xml:space="preserve"> que está fuera del cuerpo, goce fálico, escabel y el goce  del cuerpo</w:t>
      </w:r>
      <w:r w:rsidR="002F45F5">
        <w:t xml:space="preserve">, que conduce al </w:t>
      </w:r>
      <w:proofErr w:type="spellStart"/>
      <w:r w:rsidR="002F45F5">
        <w:t>sinthome</w:t>
      </w:r>
      <w:proofErr w:type="spellEnd"/>
      <w:r w:rsidR="002F45F5">
        <w:t xml:space="preserve">, podríamos decir , se goza. </w:t>
      </w:r>
    </w:p>
    <w:p w14:paraId="7649C377" w14:textId="0B288EB7" w:rsidR="002F45F5" w:rsidRDefault="002F45F5" w:rsidP="006736C0">
      <w:r>
        <w:t xml:space="preserve">En el pase de Irene </w:t>
      </w:r>
      <w:proofErr w:type="spellStart"/>
      <w:r>
        <w:t>Kuperwajs</w:t>
      </w:r>
      <w:proofErr w:type="spellEnd"/>
      <w:r>
        <w:t xml:space="preserve"> ese primer espasmo de sollozo. Irrupción en el cuerpo de un goce, sin </w:t>
      </w:r>
      <w:proofErr w:type="gramStart"/>
      <w:r>
        <w:t>sentido ,</w:t>
      </w:r>
      <w:proofErr w:type="gramEnd"/>
      <w:r>
        <w:t xml:space="preserve"> opaco que determina su vid</w:t>
      </w:r>
      <w:r w:rsidR="006A6287">
        <w:t xml:space="preserve">a. Ese resto sintomático dice Miller, que es el S1, es </w:t>
      </w:r>
      <w:proofErr w:type="gramStart"/>
      <w:r w:rsidR="006A6287">
        <w:t>una  manera</w:t>
      </w:r>
      <w:proofErr w:type="gramEnd"/>
      <w:r w:rsidR="006A6287">
        <w:t xml:space="preserve"> de estar vivo. El cuerpo como sustancia gozante no habla sino goza fuera de sentido, y requiere de un analista para que esto pueda hablar. Eric Laurent dice que hay una emergencia de goce, un eso se siente, que es el traumatismo, goce que impacta sobre la superficie del cuerpo marcado por la lengua. La lengua como S1 solo sin articulación sin sentido, eso es lo viviente.  </w:t>
      </w:r>
      <w:proofErr w:type="spellStart"/>
      <w:r w:rsidR="006A6287">
        <w:t>Despues</w:t>
      </w:r>
      <w:proofErr w:type="spellEnd"/>
      <w:r w:rsidR="006A6287">
        <w:t xml:space="preserve"> viene la interpretación el saber, la palabra.</w:t>
      </w:r>
    </w:p>
    <w:p w14:paraId="0D911631" w14:textId="77777777" w:rsidR="009B1159" w:rsidRDefault="009B1159" w:rsidP="006736C0"/>
    <w:sectPr w:rsidR="009B115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0B65CC"/>
    <w:multiLevelType w:val="hybridMultilevel"/>
    <w:tmpl w:val="E7B2202A"/>
    <w:lvl w:ilvl="0" w:tplc="4580D0DA">
      <w:numFmt w:val="bullet"/>
      <w:lvlText w:val="-"/>
      <w:lvlJc w:val="left"/>
      <w:pPr>
        <w:ind w:left="720" w:hanging="360"/>
      </w:pPr>
      <w:rPr>
        <w:rFonts w:ascii="Calibri" w:eastAsiaTheme="minorHAnsi"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36C0"/>
    <w:rsid w:val="002A51EB"/>
    <w:rsid w:val="002F45F5"/>
    <w:rsid w:val="00485DB2"/>
    <w:rsid w:val="004B1D5D"/>
    <w:rsid w:val="006736C0"/>
    <w:rsid w:val="006A6287"/>
    <w:rsid w:val="009B1159"/>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D09C1"/>
  <w15:chartTrackingRefBased/>
  <w15:docId w15:val="{EF76DA04-89B1-4471-A132-D3C70E02B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736C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341</Words>
  <Characters>1879</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Hernán Mendizabal</cp:lastModifiedBy>
  <cp:revision>2</cp:revision>
  <dcterms:created xsi:type="dcterms:W3CDTF">2020-12-21T16:00:00Z</dcterms:created>
  <dcterms:modified xsi:type="dcterms:W3CDTF">2020-12-21T16:00:00Z</dcterms:modified>
</cp:coreProperties>
</file>