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757" w:rsidRPr="00EC1757" w:rsidRDefault="009C4379" w:rsidP="005F53FB">
      <w:pPr>
        <w:spacing w:line="360" w:lineRule="auto"/>
        <w:rPr>
          <w:b/>
          <w:sz w:val="24"/>
          <w:szCs w:val="24"/>
        </w:rPr>
      </w:pPr>
      <w:r>
        <w:rPr>
          <w:b/>
          <w:sz w:val="24"/>
          <w:szCs w:val="24"/>
        </w:rPr>
        <w:t>El</w:t>
      </w:r>
      <w:r w:rsidR="00E9155D">
        <w:rPr>
          <w:b/>
          <w:sz w:val="24"/>
          <w:szCs w:val="24"/>
        </w:rPr>
        <w:t xml:space="preserve"> Yo es el</w:t>
      </w:r>
      <w:r>
        <w:rPr>
          <w:b/>
          <w:sz w:val="24"/>
          <w:szCs w:val="24"/>
        </w:rPr>
        <w:t xml:space="preserve"> </w:t>
      </w:r>
      <w:r w:rsidR="006104E2">
        <w:rPr>
          <w:b/>
          <w:sz w:val="24"/>
          <w:szCs w:val="24"/>
        </w:rPr>
        <w:t xml:space="preserve">carácter </w:t>
      </w:r>
      <w:r w:rsidR="006104E2" w:rsidRPr="006104E2">
        <w:rPr>
          <w:sz w:val="24"/>
          <w:szCs w:val="24"/>
        </w:rPr>
        <w:t>por</w:t>
      </w:r>
      <w:r w:rsidR="006104E2" w:rsidRPr="006924F3">
        <w:rPr>
          <w:sz w:val="24"/>
          <w:szCs w:val="24"/>
        </w:rPr>
        <w:t xml:space="preserve"> Ana</w:t>
      </w:r>
      <w:r w:rsidR="00FF1A97" w:rsidRPr="006924F3">
        <w:rPr>
          <w:sz w:val="24"/>
          <w:szCs w:val="24"/>
        </w:rPr>
        <w:t xml:space="preserve"> Lucia Soler</w:t>
      </w:r>
      <w:bookmarkStart w:id="0" w:name="_GoBack"/>
      <w:bookmarkEnd w:id="0"/>
    </w:p>
    <w:p w:rsidR="00E00433" w:rsidRPr="00EC1757" w:rsidRDefault="00441837" w:rsidP="005F53FB">
      <w:pPr>
        <w:spacing w:line="360" w:lineRule="auto"/>
        <w:ind w:left="993"/>
        <w:jc w:val="both"/>
        <w:rPr>
          <w:sz w:val="24"/>
          <w:szCs w:val="24"/>
        </w:rPr>
      </w:pPr>
      <w:r w:rsidRPr="00EC1757">
        <w:rPr>
          <w:i/>
          <w:sz w:val="24"/>
          <w:szCs w:val="24"/>
        </w:rPr>
        <w:t>Los rasgos permanentes de carácter son continuaciones invariadas de los instintos primitivos, sublimaciones de los mismos o reacciones contra ellas”</w:t>
      </w:r>
      <w:r w:rsidRPr="00EC1757">
        <w:rPr>
          <w:sz w:val="24"/>
          <w:szCs w:val="24"/>
        </w:rPr>
        <w:t xml:space="preserve"> </w:t>
      </w:r>
      <w:sdt>
        <w:sdtPr>
          <w:rPr>
            <w:sz w:val="24"/>
            <w:szCs w:val="24"/>
          </w:rPr>
          <w:id w:val="114028478"/>
          <w:citation/>
        </w:sdtPr>
        <w:sdtEndPr/>
        <w:sdtContent>
          <w:r w:rsidRPr="00EC1757">
            <w:rPr>
              <w:sz w:val="24"/>
              <w:szCs w:val="24"/>
            </w:rPr>
            <w:fldChar w:fldCharType="begin"/>
          </w:r>
          <w:r w:rsidRPr="00EC1757">
            <w:rPr>
              <w:sz w:val="24"/>
              <w:szCs w:val="24"/>
            </w:rPr>
            <w:instrText xml:space="preserve"> CITATION Fre08 \l 11274 </w:instrText>
          </w:r>
          <w:r w:rsidRPr="00EC1757">
            <w:rPr>
              <w:sz w:val="24"/>
              <w:szCs w:val="24"/>
            </w:rPr>
            <w:fldChar w:fldCharType="separate"/>
          </w:r>
          <w:r w:rsidRPr="00EC1757">
            <w:rPr>
              <w:noProof/>
              <w:sz w:val="24"/>
              <w:szCs w:val="24"/>
            </w:rPr>
            <w:t>(Freud, 1908)</w:t>
          </w:r>
          <w:r w:rsidRPr="00EC1757">
            <w:rPr>
              <w:sz w:val="24"/>
              <w:szCs w:val="24"/>
            </w:rPr>
            <w:fldChar w:fldCharType="end"/>
          </w:r>
        </w:sdtContent>
      </w:sdt>
    </w:p>
    <w:p w:rsidR="00A25EEC" w:rsidRDefault="00EC1757" w:rsidP="00720539">
      <w:pPr>
        <w:spacing w:line="276" w:lineRule="auto"/>
        <w:jc w:val="both"/>
        <w:rPr>
          <w:sz w:val="24"/>
          <w:szCs w:val="24"/>
        </w:rPr>
      </w:pPr>
      <w:r w:rsidRPr="00EC1757">
        <w:rPr>
          <w:sz w:val="24"/>
          <w:szCs w:val="24"/>
        </w:rPr>
        <w:t>En</w:t>
      </w:r>
      <w:r w:rsidR="00A25EEC">
        <w:rPr>
          <w:sz w:val="24"/>
          <w:szCs w:val="24"/>
        </w:rPr>
        <w:t xml:space="preserve"> el seminario sobre la Experiencia de lo real, Miller introduce la noción de </w:t>
      </w:r>
      <w:r w:rsidRPr="00EC1757">
        <w:rPr>
          <w:sz w:val="24"/>
          <w:szCs w:val="24"/>
        </w:rPr>
        <w:t>carácter</w:t>
      </w:r>
      <w:r w:rsidR="00E22E78">
        <w:rPr>
          <w:rStyle w:val="Refdenotaalfinal"/>
          <w:sz w:val="24"/>
          <w:szCs w:val="24"/>
        </w:rPr>
        <w:endnoteReference w:id="1"/>
      </w:r>
      <w:r w:rsidRPr="00EC1757">
        <w:rPr>
          <w:sz w:val="24"/>
          <w:szCs w:val="24"/>
        </w:rPr>
        <w:t xml:space="preserve"> </w:t>
      </w:r>
      <w:r w:rsidR="00E9155D">
        <w:rPr>
          <w:sz w:val="24"/>
          <w:szCs w:val="24"/>
        </w:rPr>
        <w:t>bajo el paradójico título</w:t>
      </w:r>
      <w:r w:rsidR="00852FBD">
        <w:rPr>
          <w:sz w:val="24"/>
          <w:szCs w:val="24"/>
        </w:rPr>
        <w:t xml:space="preserve">: “Patología de la conducta” y </w:t>
      </w:r>
      <w:r w:rsidR="00A25EEC">
        <w:rPr>
          <w:sz w:val="24"/>
          <w:szCs w:val="24"/>
        </w:rPr>
        <w:t>lo asocia a</w:t>
      </w:r>
      <w:r w:rsidR="00E9155D">
        <w:rPr>
          <w:sz w:val="24"/>
          <w:szCs w:val="24"/>
        </w:rPr>
        <w:t xml:space="preserve"> </w:t>
      </w:r>
      <w:r w:rsidR="009268D4">
        <w:rPr>
          <w:sz w:val="24"/>
          <w:szCs w:val="24"/>
        </w:rPr>
        <w:t xml:space="preserve">algunas presentaciones </w:t>
      </w:r>
      <w:r w:rsidR="00E9155D">
        <w:rPr>
          <w:sz w:val="24"/>
          <w:szCs w:val="24"/>
        </w:rPr>
        <w:t xml:space="preserve">clínicas </w:t>
      </w:r>
      <w:r w:rsidR="009268D4">
        <w:rPr>
          <w:sz w:val="24"/>
          <w:szCs w:val="24"/>
        </w:rPr>
        <w:t>que no se pueden articular directamente a la noción de síntoma</w:t>
      </w:r>
      <w:r w:rsidR="006924F3">
        <w:rPr>
          <w:sz w:val="24"/>
          <w:szCs w:val="24"/>
        </w:rPr>
        <w:t xml:space="preserve"> sino</w:t>
      </w:r>
      <w:r w:rsidR="009268D4">
        <w:rPr>
          <w:sz w:val="24"/>
          <w:szCs w:val="24"/>
        </w:rPr>
        <w:t xml:space="preserve"> </w:t>
      </w:r>
      <w:r w:rsidR="00A25EEC">
        <w:rPr>
          <w:sz w:val="24"/>
          <w:szCs w:val="24"/>
        </w:rPr>
        <w:t xml:space="preserve">que </w:t>
      </w:r>
      <w:r w:rsidR="009268D4">
        <w:rPr>
          <w:sz w:val="24"/>
          <w:szCs w:val="24"/>
        </w:rPr>
        <w:t xml:space="preserve">se presentan como una </w:t>
      </w:r>
      <w:r w:rsidR="00A25EEC">
        <w:rPr>
          <w:sz w:val="24"/>
          <w:szCs w:val="24"/>
        </w:rPr>
        <w:t>“</w:t>
      </w:r>
      <w:r w:rsidR="009268D4" w:rsidRPr="009268D4">
        <w:rPr>
          <w:i/>
          <w:sz w:val="24"/>
          <w:szCs w:val="24"/>
        </w:rPr>
        <w:t>forma total</w:t>
      </w:r>
      <w:r w:rsidR="009268D4">
        <w:rPr>
          <w:sz w:val="24"/>
          <w:szCs w:val="24"/>
        </w:rPr>
        <w:t xml:space="preserve"> </w:t>
      </w:r>
      <w:r w:rsidR="00E22E78">
        <w:rPr>
          <w:sz w:val="24"/>
          <w:szCs w:val="24"/>
        </w:rPr>
        <w:t>de</w:t>
      </w:r>
      <w:r w:rsidR="009268D4">
        <w:rPr>
          <w:sz w:val="24"/>
          <w:szCs w:val="24"/>
        </w:rPr>
        <w:t>l ser</w:t>
      </w:r>
      <w:r w:rsidR="00A25EEC">
        <w:rPr>
          <w:sz w:val="24"/>
          <w:szCs w:val="24"/>
        </w:rPr>
        <w:t>”</w:t>
      </w:r>
      <w:r w:rsidR="009268D4">
        <w:rPr>
          <w:sz w:val="24"/>
          <w:szCs w:val="24"/>
        </w:rPr>
        <w:t xml:space="preserve">. </w:t>
      </w:r>
      <w:r w:rsidR="00E22E78">
        <w:rPr>
          <w:sz w:val="24"/>
          <w:szCs w:val="24"/>
        </w:rPr>
        <w:t xml:space="preserve"> </w:t>
      </w:r>
      <w:r w:rsidR="009A5D35">
        <w:rPr>
          <w:sz w:val="24"/>
          <w:szCs w:val="24"/>
        </w:rPr>
        <w:t xml:space="preserve"> </w:t>
      </w:r>
    </w:p>
    <w:p w:rsidR="001915EB" w:rsidRDefault="0052434D" w:rsidP="00720539">
      <w:pPr>
        <w:spacing w:line="276" w:lineRule="auto"/>
        <w:jc w:val="both"/>
        <w:rPr>
          <w:sz w:val="24"/>
          <w:szCs w:val="24"/>
        </w:rPr>
      </w:pPr>
      <w:r>
        <w:rPr>
          <w:sz w:val="24"/>
          <w:szCs w:val="24"/>
        </w:rPr>
        <w:t>Los “retratos” que se encuentran depurados en</w:t>
      </w:r>
      <w:r w:rsidR="001959DA">
        <w:rPr>
          <w:sz w:val="24"/>
          <w:szCs w:val="24"/>
        </w:rPr>
        <w:t xml:space="preserve"> las actuales </w:t>
      </w:r>
      <w:r>
        <w:rPr>
          <w:sz w:val="24"/>
          <w:szCs w:val="24"/>
        </w:rPr>
        <w:t>tipologías</w:t>
      </w:r>
      <w:r w:rsidR="001959DA">
        <w:rPr>
          <w:sz w:val="24"/>
          <w:szCs w:val="24"/>
        </w:rPr>
        <w:t xml:space="preserve"> de la conducta </w:t>
      </w:r>
      <w:r>
        <w:rPr>
          <w:sz w:val="24"/>
          <w:szCs w:val="24"/>
        </w:rPr>
        <w:t xml:space="preserve">son construcciones que nacieron como ampliación de los rasgos de fundamentales del </w:t>
      </w:r>
      <w:r w:rsidR="001959DA">
        <w:rPr>
          <w:sz w:val="24"/>
          <w:szCs w:val="24"/>
        </w:rPr>
        <w:t>carácter (Anal, oral) desarrollados en la vasta bibliografía analítica</w:t>
      </w:r>
      <w:r w:rsidR="002F722C">
        <w:rPr>
          <w:sz w:val="24"/>
          <w:szCs w:val="24"/>
        </w:rPr>
        <w:t xml:space="preserve"> (Freud, Abraham, Jones)</w:t>
      </w:r>
      <w:r w:rsidR="001959DA">
        <w:rPr>
          <w:rStyle w:val="Refdenotaalfinal"/>
          <w:sz w:val="24"/>
          <w:szCs w:val="24"/>
        </w:rPr>
        <w:endnoteReference w:id="2"/>
      </w:r>
      <w:r w:rsidR="002F722C">
        <w:rPr>
          <w:sz w:val="24"/>
          <w:szCs w:val="24"/>
        </w:rPr>
        <w:t xml:space="preserve"> y </w:t>
      </w:r>
      <w:r w:rsidR="00EB2556">
        <w:rPr>
          <w:sz w:val="24"/>
          <w:szCs w:val="24"/>
        </w:rPr>
        <w:t xml:space="preserve">como </w:t>
      </w:r>
      <w:r w:rsidR="002F722C">
        <w:rPr>
          <w:sz w:val="24"/>
          <w:szCs w:val="24"/>
        </w:rPr>
        <w:t xml:space="preserve">un intento fallido de describir desde totalidades aquello que siempre estará separado. </w:t>
      </w:r>
    </w:p>
    <w:p w:rsidR="00DB3E35" w:rsidRDefault="00BC69BF" w:rsidP="00720539">
      <w:pPr>
        <w:spacing w:line="276" w:lineRule="auto"/>
        <w:jc w:val="both"/>
        <w:rPr>
          <w:sz w:val="24"/>
          <w:szCs w:val="24"/>
        </w:rPr>
      </w:pPr>
      <w:r>
        <w:rPr>
          <w:sz w:val="24"/>
          <w:szCs w:val="24"/>
        </w:rPr>
        <w:t xml:space="preserve">Miller divide </w:t>
      </w:r>
      <w:r w:rsidR="000D6C98">
        <w:rPr>
          <w:sz w:val="24"/>
          <w:szCs w:val="24"/>
        </w:rPr>
        <w:t>el campo en</w:t>
      </w:r>
      <w:r>
        <w:rPr>
          <w:sz w:val="24"/>
          <w:szCs w:val="24"/>
        </w:rPr>
        <w:t xml:space="preserve"> dos grandes categorías y sus elementos. Por un </w:t>
      </w:r>
      <w:proofErr w:type="gramStart"/>
      <w:r>
        <w:rPr>
          <w:sz w:val="24"/>
          <w:szCs w:val="24"/>
        </w:rPr>
        <w:t>lado</w:t>
      </w:r>
      <w:proofErr w:type="gramEnd"/>
      <w:r>
        <w:rPr>
          <w:sz w:val="24"/>
          <w:szCs w:val="24"/>
        </w:rPr>
        <w:t xml:space="preserve"> </w:t>
      </w:r>
      <w:r w:rsidR="000D6C98">
        <w:rPr>
          <w:sz w:val="24"/>
          <w:szCs w:val="24"/>
        </w:rPr>
        <w:t xml:space="preserve">lo </w:t>
      </w:r>
      <w:r w:rsidR="007F6452">
        <w:rPr>
          <w:sz w:val="24"/>
          <w:szCs w:val="24"/>
        </w:rPr>
        <w:t>simbólico</w:t>
      </w:r>
      <w:r>
        <w:rPr>
          <w:sz w:val="24"/>
          <w:szCs w:val="24"/>
        </w:rPr>
        <w:t>, donde incluye al síntoma, la represión, el deseo y el inconsciente y por otro lado lo real</w:t>
      </w:r>
      <w:r w:rsidR="00C626DD">
        <w:rPr>
          <w:sz w:val="24"/>
          <w:szCs w:val="24"/>
        </w:rPr>
        <w:t>,</w:t>
      </w:r>
      <w:r>
        <w:rPr>
          <w:sz w:val="24"/>
          <w:szCs w:val="24"/>
        </w:rPr>
        <w:t xml:space="preserve"> donde incluye el carácter, la defensa, el goce y la pulsión. Del primer lado la interpretación como desciframiento y del segundo la interpretación como perturbación. Ambos lados se anudan en el concepto de sinthome. </w:t>
      </w:r>
    </w:p>
    <w:p w:rsidR="00720539" w:rsidRDefault="00332100" w:rsidP="00720539">
      <w:pPr>
        <w:spacing w:line="276" w:lineRule="auto"/>
        <w:jc w:val="both"/>
        <w:rPr>
          <w:sz w:val="24"/>
          <w:szCs w:val="24"/>
        </w:rPr>
      </w:pPr>
      <w:r>
        <w:rPr>
          <w:sz w:val="24"/>
          <w:szCs w:val="24"/>
        </w:rPr>
        <w:t>El carácter se distingue porque, en lugar del síntoma (que implica una modificación del yo como solución de un conflicto), se tienen acciones en la vida.</w:t>
      </w:r>
      <w:r w:rsidR="00C626DD">
        <w:rPr>
          <w:sz w:val="24"/>
          <w:szCs w:val="24"/>
        </w:rPr>
        <w:t xml:space="preserve"> Es la</w:t>
      </w:r>
      <w:r>
        <w:rPr>
          <w:sz w:val="24"/>
          <w:szCs w:val="24"/>
        </w:rPr>
        <w:t xml:space="preserve"> introducción del d</w:t>
      </w:r>
      <w:r w:rsidR="00C626DD">
        <w:rPr>
          <w:sz w:val="24"/>
          <w:szCs w:val="24"/>
        </w:rPr>
        <w:t>esorden en su</w:t>
      </w:r>
      <w:r>
        <w:rPr>
          <w:sz w:val="24"/>
          <w:szCs w:val="24"/>
        </w:rPr>
        <w:t xml:space="preserve"> mundo, de </w:t>
      </w:r>
      <w:r w:rsidR="00C626DD">
        <w:rPr>
          <w:sz w:val="24"/>
          <w:szCs w:val="24"/>
        </w:rPr>
        <w:t xml:space="preserve">un </w:t>
      </w:r>
      <w:r>
        <w:rPr>
          <w:sz w:val="24"/>
          <w:szCs w:val="24"/>
        </w:rPr>
        <w:t>modo repetitivo moviliza el entorno (ej. Tratar mal o hacerse tratar mal).</w:t>
      </w:r>
      <w:r w:rsidR="00C626DD">
        <w:rPr>
          <w:sz w:val="24"/>
          <w:szCs w:val="24"/>
        </w:rPr>
        <w:t xml:space="preserve"> </w:t>
      </w:r>
      <w:r>
        <w:rPr>
          <w:sz w:val="24"/>
          <w:szCs w:val="24"/>
        </w:rPr>
        <w:t>De un modo estricto</w:t>
      </w:r>
      <w:r w:rsidR="00C626DD">
        <w:rPr>
          <w:sz w:val="24"/>
          <w:szCs w:val="24"/>
        </w:rPr>
        <w:t>,</w:t>
      </w:r>
      <w:r>
        <w:rPr>
          <w:sz w:val="24"/>
          <w:szCs w:val="24"/>
        </w:rPr>
        <w:t xml:space="preserve"> es un modo de </w:t>
      </w:r>
      <w:r w:rsidR="007F6452">
        <w:rPr>
          <w:sz w:val="24"/>
          <w:szCs w:val="24"/>
        </w:rPr>
        <w:t>satisfacción</w:t>
      </w:r>
      <w:r w:rsidR="00FF1A97">
        <w:rPr>
          <w:sz w:val="24"/>
          <w:szCs w:val="24"/>
        </w:rPr>
        <w:t xml:space="preserve"> distinta</w:t>
      </w:r>
      <w:r>
        <w:rPr>
          <w:sz w:val="24"/>
          <w:szCs w:val="24"/>
        </w:rPr>
        <w:t xml:space="preserve"> del síntoma. </w:t>
      </w:r>
    </w:p>
    <w:p w:rsidR="006D3A78" w:rsidRDefault="00FF1A97" w:rsidP="00720539">
      <w:pPr>
        <w:spacing w:line="276" w:lineRule="auto"/>
        <w:jc w:val="both"/>
        <w:rPr>
          <w:sz w:val="24"/>
          <w:szCs w:val="24"/>
        </w:rPr>
      </w:pPr>
      <w:r>
        <w:rPr>
          <w:sz w:val="24"/>
          <w:szCs w:val="24"/>
        </w:rPr>
        <w:t>F</w:t>
      </w:r>
      <w:r w:rsidR="00332100">
        <w:rPr>
          <w:sz w:val="24"/>
          <w:szCs w:val="24"/>
        </w:rPr>
        <w:t xml:space="preserve">ue señalado por los </w:t>
      </w:r>
      <w:r w:rsidR="007F6452">
        <w:rPr>
          <w:sz w:val="24"/>
          <w:szCs w:val="24"/>
        </w:rPr>
        <w:t>posfreudianos</w:t>
      </w:r>
      <w:r w:rsidR="00332100">
        <w:rPr>
          <w:sz w:val="24"/>
          <w:szCs w:val="24"/>
        </w:rPr>
        <w:t xml:space="preserve"> como algo más arcaico que el síntoma, anterior al estadio de su formación, donde la pulsión se satisface en la acción que lo reemplaza. </w:t>
      </w:r>
      <w:r w:rsidR="005F53FB">
        <w:rPr>
          <w:sz w:val="24"/>
          <w:szCs w:val="24"/>
        </w:rPr>
        <w:t>A</w:t>
      </w:r>
      <w:r w:rsidR="006D3A78">
        <w:rPr>
          <w:sz w:val="24"/>
          <w:szCs w:val="24"/>
        </w:rPr>
        <w:t>tribuye</w:t>
      </w:r>
      <w:r w:rsidR="005F53FB">
        <w:rPr>
          <w:sz w:val="24"/>
          <w:szCs w:val="24"/>
        </w:rPr>
        <w:t>ndo</w:t>
      </w:r>
      <w:r w:rsidR="006D3A78">
        <w:rPr>
          <w:sz w:val="24"/>
          <w:szCs w:val="24"/>
        </w:rPr>
        <w:t xml:space="preserve"> a las reacciones caracteriales un déficit en lo </w:t>
      </w:r>
      <w:r w:rsidR="007F6452">
        <w:rPr>
          <w:sz w:val="24"/>
          <w:szCs w:val="24"/>
        </w:rPr>
        <w:t>simbólico</w:t>
      </w:r>
      <w:r w:rsidR="006D3A78">
        <w:rPr>
          <w:sz w:val="24"/>
          <w:szCs w:val="24"/>
        </w:rPr>
        <w:t xml:space="preserve"> y</w:t>
      </w:r>
      <w:r w:rsidR="005F53FB">
        <w:rPr>
          <w:sz w:val="24"/>
          <w:szCs w:val="24"/>
        </w:rPr>
        <w:t>,</w:t>
      </w:r>
      <w:r w:rsidR="006D3A78">
        <w:rPr>
          <w:sz w:val="24"/>
          <w:szCs w:val="24"/>
        </w:rPr>
        <w:t xml:space="preserve"> </w:t>
      </w:r>
      <w:proofErr w:type="gramStart"/>
      <w:r w:rsidR="006D3A78">
        <w:rPr>
          <w:sz w:val="24"/>
          <w:szCs w:val="24"/>
        </w:rPr>
        <w:t>que</w:t>
      </w:r>
      <w:proofErr w:type="gramEnd"/>
      <w:r w:rsidR="006D3A78">
        <w:rPr>
          <w:sz w:val="24"/>
          <w:szCs w:val="24"/>
        </w:rPr>
        <w:t xml:space="preserve"> a diferencia de los neuróticos puros</w:t>
      </w:r>
      <w:r w:rsidR="005F53FB">
        <w:rPr>
          <w:sz w:val="24"/>
          <w:szCs w:val="24"/>
        </w:rPr>
        <w:t>,</w:t>
      </w:r>
      <w:r w:rsidR="006D3A78">
        <w:rPr>
          <w:sz w:val="24"/>
          <w:szCs w:val="24"/>
        </w:rPr>
        <w:t xml:space="preserve"> no se bastan a </w:t>
      </w:r>
      <w:r w:rsidR="007F6452">
        <w:rPr>
          <w:sz w:val="24"/>
          <w:szCs w:val="24"/>
        </w:rPr>
        <w:t>sí</w:t>
      </w:r>
      <w:r w:rsidR="006D3A78">
        <w:rPr>
          <w:sz w:val="24"/>
          <w:szCs w:val="24"/>
        </w:rPr>
        <w:t xml:space="preserve"> mismos con autocastigos simbólicos</w:t>
      </w:r>
      <w:r w:rsidR="000D6C98">
        <w:rPr>
          <w:sz w:val="24"/>
          <w:szCs w:val="24"/>
        </w:rPr>
        <w:t>, s</w:t>
      </w:r>
      <w:r w:rsidR="006D3A78">
        <w:rPr>
          <w:sz w:val="24"/>
          <w:szCs w:val="24"/>
        </w:rPr>
        <w:t xml:space="preserve">on necesarios autocastigos reales, </w:t>
      </w:r>
      <w:r w:rsidR="007F6452">
        <w:rPr>
          <w:sz w:val="24"/>
          <w:szCs w:val="24"/>
        </w:rPr>
        <w:t>infligidos</w:t>
      </w:r>
      <w:r w:rsidR="006D3A78">
        <w:rPr>
          <w:sz w:val="24"/>
          <w:szCs w:val="24"/>
        </w:rPr>
        <w:t xml:space="preserve"> por personas del entorno que sin duda tienen una significación </w:t>
      </w:r>
      <w:r w:rsidR="007F6452">
        <w:rPr>
          <w:sz w:val="24"/>
          <w:szCs w:val="24"/>
        </w:rPr>
        <w:t>simbólica</w:t>
      </w:r>
      <w:r w:rsidR="006D3A78">
        <w:rPr>
          <w:sz w:val="24"/>
          <w:szCs w:val="24"/>
        </w:rPr>
        <w:t xml:space="preserve">. </w:t>
      </w:r>
      <w:r>
        <w:rPr>
          <w:sz w:val="24"/>
          <w:szCs w:val="24"/>
        </w:rPr>
        <w:t>Por eso el carácter se presenta como una patología de la conducta, casi como estereotipia vital.</w:t>
      </w:r>
    </w:p>
    <w:p w:rsidR="00FA04E7" w:rsidRDefault="00FA04E7" w:rsidP="00720539">
      <w:pPr>
        <w:spacing w:line="276" w:lineRule="auto"/>
        <w:jc w:val="both"/>
        <w:rPr>
          <w:sz w:val="24"/>
          <w:szCs w:val="24"/>
        </w:rPr>
      </w:pPr>
      <w:r>
        <w:rPr>
          <w:sz w:val="24"/>
          <w:szCs w:val="24"/>
        </w:rPr>
        <w:t xml:space="preserve">Freud abrió el camino </w:t>
      </w:r>
      <w:r w:rsidR="005F53FB">
        <w:rPr>
          <w:sz w:val="24"/>
          <w:szCs w:val="24"/>
        </w:rPr>
        <w:t>al decir</w:t>
      </w:r>
      <w:r w:rsidR="000D6C98">
        <w:rPr>
          <w:sz w:val="24"/>
          <w:szCs w:val="24"/>
        </w:rPr>
        <w:t xml:space="preserve"> que</w:t>
      </w:r>
      <w:r w:rsidR="005F53FB">
        <w:rPr>
          <w:sz w:val="24"/>
          <w:szCs w:val="24"/>
        </w:rPr>
        <w:t xml:space="preserve"> </w:t>
      </w:r>
      <w:r>
        <w:rPr>
          <w:sz w:val="24"/>
          <w:szCs w:val="24"/>
        </w:rPr>
        <w:t xml:space="preserve">el carácter no tiene la estructura de las formaciones del inconsciente. El síntoma se remite al símbolo, el carácter se remite directamente a la pulsión e incluso a la zona erógena pasando por alto los laberintos de lo </w:t>
      </w:r>
      <w:r w:rsidR="007F6452">
        <w:rPr>
          <w:sz w:val="24"/>
          <w:szCs w:val="24"/>
        </w:rPr>
        <w:t>simbólico</w:t>
      </w:r>
      <w:r>
        <w:rPr>
          <w:sz w:val="24"/>
          <w:szCs w:val="24"/>
        </w:rPr>
        <w:t xml:space="preserve">. </w:t>
      </w:r>
    </w:p>
    <w:p w:rsidR="0074391C" w:rsidRDefault="006924F3" w:rsidP="00720539">
      <w:pPr>
        <w:spacing w:line="276" w:lineRule="auto"/>
        <w:jc w:val="both"/>
        <w:rPr>
          <w:sz w:val="24"/>
          <w:szCs w:val="24"/>
        </w:rPr>
      </w:pPr>
      <w:r>
        <w:rPr>
          <w:sz w:val="24"/>
          <w:szCs w:val="24"/>
        </w:rPr>
        <w:t>E</w:t>
      </w:r>
      <w:r w:rsidR="00796744">
        <w:rPr>
          <w:sz w:val="24"/>
          <w:szCs w:val="24"/>
        </w:rPr>
        <w:t xml:space="preserve">l carácter fue la manera en la que los analistas intentaron teorizar lo que se presentaba como la incidencia del cuerpo en el inconsciente. </w:t>
      </w:r>
      <w:r w:rsidR="005F53FB">
        <w:rPr>
          <w:sz w:val="24"/>
          <w:szCs w:val="24"/>
        </w:rPr>
        <w:t>E</w:t>
      </w:r>
      <w:r w:rsidR="00A235FA">
        <w:rPr>
          <w:sz w:val="24"/>
          <w:szCs w:val="24"/>
        </w:rPr>
        <w:t xml:space="preserve">l giro de la segunda tópica sirve para pensar la neurosis </w:t>
      </w:r>
      <w:r w:rsidR="007F6452">
        <w:rPr>
          <w:sz w:val="24"/>
          <w:szCs w:val="24"/>
        </w:rPr>
        <w:t>más</w:t>
      </w:r>
      <w:r w:rsidR="00A235FA">
        <w:rPr>
          <w:sz w:val="24"/>
          <w:szCs w:val="24"/>
        </w:rPr>
        <w:t xml:space="preserve"> </w:t>
      </w:r>
      <w:r w:rsidR="007F6452">
        <w:rPr>
          <w:sz w:val="24"/>
          <w:szCs w:val="24"/>
        </w:rPr>
        <w:t>allá</w:t>
      </w:r>
      <w:r w:rsidR="00A235FA">
        <w:rPr>
          <w:sz w:val="24"/>
          <w:szCs w:val="24"/>
        </w:rPr>
        <w:t xml:space="preserve"> del síntoma, para pensar la vida neurótica. Y lo que Freud llama yo, no es otra cosa que este </w:t>
      </w:r>
      <w:r w:rsidR="007F6452">
        <w:rPr>
          <w:sz w:val="24"/>
          <w:szCs w:val="24"/>
        </w:rPr>
        <w:t>más</w:t>
      </w:r>
      <w:r w:rsidR="00A235FA">
        <w:rPr>
          <w:sz w:val="24"/>
          <w:szCs w:val="24"/>
        </w:rPr>
        <w:t xml:space="preserve"> </w:t>
      </w:r>
      <w:r w:rsidR="007F6452">
        <w:rPr>
          <w:sz w:val="24"/>
          <w:szCs w:val="24"/>
        </w:rPr>
        <w:t>allá</w:t>
      </w:r>
      <w:r w:rsidR="00A235FA">
        <w:rPr>
          <w:sz w:val="24"/>
          <w:szCs w:val="24"/>
        </w:rPr>
        <w:t xml:space="preserve"> del síntoma.</w:t>
      </w:r>
      <w:r w:rsidR="0074391C">
        <w:rPr>
          <w:sz w:val="24"/>
          <w:szCs w:val="24"/>
        </w:rPr>
        <w:t xml:space="preserve"> </w:t>
      </w:r>
      <w:r w:rsidR="00FF1A97">
        <w:rPr>
          <w:sz w:val="24"/>
          <w:szCs w:val="24"/>
        </w:rPr>
        <w:t>Por eso el carácter se presenta como una patología de la conducta, casi como estereotipia vital</w:t>
      </w:r>
      <w:r w:rsidR="00D13911">
        <w:rPr>
          <w:sz w:val="24"/>
          <w:szCs w:val="24"/>
        </w:rPr>
        <w:t>, casi como una posición subjetiva</w:t>
      </w:r>
      <w:r w:rsidR="00FF1A97">
        <w:rPr>
          <w:sz w:val="24"/>
          <w:szCs w:val="24"/>
        </w:rPr>
        <w:t>.</w:t>
      </w:r>
      <w:r w:rsidR="00D13911" w:rsidRPr="00D13911">
        <w:rPr>
          <w:b/>
          <w:sz w:val="24"/>
          <w:szCs w:val="24"/>
        </w:rPr>
        <w:t xml:space="preserve"> </w:t>
      </w:r>
    </w:p>
    <w:sectPr w:rsidR="0074391C" w:rsidSect="006104E2">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3A0" w:rsidRDefault="002B03A0" w:rsidP="00E22E78">
      <w:pPr>
        <w:spacing w:after="0" w:line="240" w:lineRule="auto"/>
      </w:pPr>
      <w:r>
        <w:separator/>
      </w:r>
    </w:p>
  </w:endnote>
  <w:endnote w:type="continuationSeparator" w:id="0">
    <w:p w:rsidR="002B03A0" w:rsidRDefault="002B03A0" w:rsidP="00E22E78">
      <w:pPr>
        <w:spacing w:after="0" w:line="240" w:lineRule="auto"/>
      </w:pPr>
      <w:r>
        <w:continuationSeparator/>
      </w:r>
    </w:p>
  </w:endnote>
  <w:endnote w:id="1">
    <w:p w:rsidR="00190833" w:rsidRPr="000C74A4" w:rsidRDefault="00190833" w:rsidP="008C3DAB">
      <w:pPr>
        <w:spacing w:line="240" w:lineRule="auto"/>
        <w:jc w:val="both"/>
        <w:rPr>
          <w:sz w:val="24"/>
          <w:szCs w:val="24"/>
        </w:rPr>
      </w:pPr>
      <w:r>
        <w:rPr>
          <w:rStyle w:val="Refdenotaalfinal"/>
        </w:rPr>
        <w:endnoteRef/>
      </w:r>
      <w:r>
        <w:t xml:space="preserve"> </w:t>
      </w:r>
      <w:proofErr w:type="gramStart"/>
      <w:r w:rsidRPr="00E22E78">
        <w:rPr>
          <w:sz w:val="20"/>
          <w:szCs w:val="20"/>
        </w:rPr>
        <w:t>Parto  del</w:t>
      </w:r>
      <w:proofErr w:type="gramEnd"/>
      <w:r w:rsidRPr="00E22E78">
        <w:rPr>
          <w:sz w:val="20"/>
          <w:szCs w:val="20"/>
        </w:rPr>
        <w:t xml:space="preserve"> recorrido realizado en el módulo de investigación sobre “La experiencia de lo Real” de JAM, quien plantea en dicho seminario tres bordes de esta experiencia en la cura analítica: 1ro) el concepto de carácter, 2do) los paradigmas del goce y 3ro) elementos de biología lacaniana. Retomare aquí solo el primero.</w:t>
      </w:r>
    </w:p>
  </w:endnote>
  <w:endnote w:id="2">
    <w:p w:rsidR="00190833" w:rsidRPr="001959DA" w:rsidRDefault="00190833" w:rsidP="008C3DAB">
      <w:pPr>
        <w:pStyle w:val="Textonotaalfinal"/>
        <w:jc w:val="both"/>
      </w:pPr>
      <w:r>
        <w:rPr>
          <w:rStyle w:val="Refdenotaalfinal"/>
        </w:rPr>
        <w:endnoteRef/>
      </w:r>
      <w:r>
        <w:t xml:space="preserve"> Por </w:t>
      </w:r>
      <w:proofErr w:type="gramStart"/>
      <w:r>
        <w:t>ejemplo</w:t>
      </w:r>
      <w:proofErr w:type="gramEnd"/>
      <w:r>
        <w:t xml:space="preserve"> l</w:t>
      </w:r>
      <w:r w:rsidRPr="001959DA">
        <w:t>a ampliación del rasgo de obstinación</w:t>
      </w:r>
      <w:r>
        <w:t xml:space="preserve"> propio del carácter anal</w:t>
      </w:r>
      <w:r w:rsidRPr="001959DA">
        <w:t xml:space="preserve"> </w:t>
      </w:r>
      <w:r>
        <w:t>hacia el</w:t>
      </w:r>
      <w:r w:rsidRPr="001959DA">
        <w:t xml:space="preserve"> tipo</w:t>
      </w:r>
      <w:r>
        <w:t xml:space="preserve"> que</w:t>
      </w:r>
      <w:r w:rsidRPr="001959DA">
        <w:t xml:space="preserve"> </w:t>
      </w:r>
      <w:r>
        <w:t xml:space="preserve">incluye aquel </w:t>
      </w:r>
      <w:r w:rsidRPr="001959DA">
        <w:t>que organiza, hace todo por sí mismo, cuida todos los detalles, monta organizaciones complejas que funcionan en la medida que las anima con su energía, construyendo un mundo donde no solo es excepcional sino único</w:t>
      </w: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3A0" w:rsidRDefault="002B03A0" w:rsidP="00E22E78">
      <w:pPr>
        <w:spacing w:after="0" w:line="240" w:lineRule="auto"/>
      </w:pPr>
      <w:r>
        <w:separator/>
      </w:r>
    </w:p>
  </w:footnote>
  <w:footnote w:type="continuationSeparator" w:id="0">
    <w:p w:rsidR="002B03A0" w:rsidRDefault="002B03A0" w:rsidP="00E22E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837"/>
    <w:rsid w:val="000C74A4"/>
    <w:rsid w:val="000D1C46"/>
    <w:rsid w:val="000D6C98"/>
    <w:rsid w:val="0017491B"/>
    <w:rsid w:val="00190833"/>
    <w:rsid w:val="001915EB"/>
    <w:rsid w:val="001959DA"/>
    <w:rsid w:val="00207CE4"/>
    <w:rsid w:val="002B03A0"/>
    <w:rsid w:val="002F1AF7"/>
    <w:rsid w:val="002F722C"/>
    <w:rsid w:val="00332100"/>
    <w:rsid w:val="00395DB0"/>
    <w:rsid w:val="004116CC"/>
    <w:rsid w:val="00441837"/>
    <w:rsid w:val="0052434D"/>
    <w:rsid w:val="005D0F6A"/>
    <w:rsid w:val="005F53FB"/>
    <w:rsid w:val="006063C6"/>
    <w:rsid w:val="006104E2"/>
    <w:rsid w:val="006628C5"/>
    <w:rsid w:val="006924F3"/>
    <w:rsid w:val="006D3A78"/>
    <w:rsid w:val="00720539"/>
    <w:rsid w:val="0074391C"/>
    <w:rsid w:val="00755428"/>
    <w:rsid w:val="00796744"/>
    <w:rsid w:val="007F6452"/>
    <w:rsid w:val="00852FBD"/>
    <w:rsid w:val="008C3DAB"/>
    <w:rsid w:val="009268D4"/>
    <w:rsid w:val="009A0724"/>
    <w:rsid w:val="009A5D35"/>
    <w:rsid w:val="009C4379"/>
    <w:rsid w:val="00A235FA"/>
    <w:rsid w:val="00A25EEC"/>
    <w:rsid w:val="00A916F3"/>
    <w:rsid w:val="00B71FA0"/>
    <w:rsid w:val="00BC69BF"/>
    <w:rsid w:val="00C626DD"/>
    <w:rsid w:val="00D13911"/>
    <w:rsid w:val="00DB3E35"/>
    <w:rsid w:val="00E00433"/>
    <w:rsid w:val="00E22E78"/>
    <w:rsid w:val="00E9155D"/>
    <w:rsid w:val="00EB2556"/>
    <w:rsid w:val="00EC1757"/>
    <w:rsid w:val="00FA04E7"/>
    <w:rsid w:val="00FD3D0C"/>
    <w:rsid w:val="00FF1A9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99DCF7-EB95-4212-9F08-FD8839695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uiPriority w:val="99"/>
    <w:semiHidden/>
    <w:unhideWhenUsed/>
    <w:rsid w:val="00E22E78"/>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E22E78"/>
    <w:rPr>
      <w:sz w:val="20"/>
      <w:szCs w:val="20"/>
    </w:rPr>
  </w:style>
  <w:style w:type="character" w:styleId="Refdenotaalfinal">
    <w:name w:val="endnote reference"/>
    <w:basedOn w:val="Fuentedeprrafopredeter"/>
    <w:uiPriority w:val="99"/>
    <w:semiHidden/>
    <w:unhideWhenUsed/>
    <w:rsid w:val="00E22E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79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Fre08</b:Tag>
    <b:SourceType>Book</b:SourceType>
    <b:Guid>{E17E3696-0EAE-44EA-BE2A-5301AA29F010}</b:Guid>
    <b:Author>
      <b:Author>
        <b:NameList>
          <b:Person>
            <b:Last>Freud</b:Last>
            <b:First>Sigmund</b:First>
          </b:Person>
        </b:NameList>
      </b:Author>
    </b:Author>
    <b:Title>Obras completas. El caracter y el erotismo anal</b:Title>
    <b:Year>1908</b:Year>
    <b:City>Madrid</b:City>
    <b:Publisher>Editorial Biblioteca Nueva</b:Publisher>
    <b:RefOrder>1</b:RefOrder>
  </b:Source>
</b:Sources>
</file>

<file path=customXml/itemProps1.xml><?xml version="1.0" encoding="utf-8"?>
<ds:datastoreItem xmlns:ds="http://schemas.openxmlformats.org/officeDocument/2006/customXml" ds:itemID="{97459B32-94B7-4ABA-8771-ACD683091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451</Words>
  <Characters>2484</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Hernán Mendizabal</cp:lastModifiedBy>
  <cp:revision>2</cp:revision>
  <dcterms:created xsi:type="dcterms:W3CDTF">2020-12-21T16:10:00Z</dcterms:created>
  <dcterms:modified xsi:type="dcterms:W3CDTF">2020-12-21T16:10:00Z</dcterms:modified>
</cp:coreProperties>
</file>