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E56" w:rsidRPr="005D4E56" w:rsidRDefault="005D4E56" w:rsidP="005D4E56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 w:rsidRPr="005D4E56">
        <w:rPr>
          <w:rFonts w:ascii="Arial" w:hAnsi="Arial" w:cs="Arial"/>
          <w:b/>
          <w:sz w:val="24"/>
          <w:szCs w:val="24"/>
          <w:u w:val="single"/>
        </w:rPr>
        <w:t>LA TINTA ROJA</w:t>
      </w:r>
    </w:p>
    <w:p w:rsidR="006A3FB9" w:rsidRPr="00F06BC5" w:rsidRDefault="00BF7714" w:rsidP="00F06BC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06BC5">
        <w:rPr>
          <w:rFonts w:ascii="Arial" w:hAnsi="Arial" w:cs="Arial"/>
          <w:sz w:val="24"/>
          <w:szCs w:val="24"/>
        </w:rPr>
        <w:t>La lectura que llevó a este trabajo</w:t>
      </w:r>
      <w:r w:rsidR="006F6B50" w:rsidRPr="00F06BC5">
        <w:rPr>
          <w:rFonts w:ascii="Arial" w:hAnsi="Arial" w:cs="Arial"/>
          <w:sz w:val="24"/>
          <w:szCs w:val="24"/>
        </w:rPr>
        <w:t xml:space="preserve"> inicio </w:t>
      </w:r>
      <w:r w:rsidR="00306608" w:rsidRPr="00F06BC5">
        <w:rPr>
          <w:rFonts w:ascii="Arial" w:hAnsi="Arial" w:cs="Arial"/>
          <w:sz w:val="24"/>
          <w:szCs w:val="24"/>
        </w:rPr>
        <w:t>con una frase</w:t>
      </w:r>
      <w:r w:rsidR="006F6B50" w:rsidRPr="00F06BC5">
        <w:rPr>
          <w:rFonts w:ascii="Arial" w:hAnsi="Arial" w:cs="Arial"/>
          <w:sz w:val="24"/>
          <w:szCs w:val="24"/>
        </w:rPr>
        <w:t xml:space="preserve"> de Gustavo </w:t>
      </w:r>
      <w:proofErr w:type="spellStart"/>
      <w:r w:rsidR="006F6B50" w:rsidRPr="00F06BC5">
        <w:rPr>
          <w:rFonts w:ascii="Arial" w:hAnsi="Arial" w:cs="Arial"/>
          <w:sz w:val="24"/>
          <w:szCs w:val="24"/>
        </w:rPr>
        <w:t>Stiglitz</w:t>
      </w:r>
      <w:proofErr w:type="spellEnd"/>
      <w:r w:rsidR="005D4E56">
        <w:rPr>
          <w:rFonts w:ascii="Arial" w:hAnsi="Arial" w:cs="Arial"/>
          <w:sz w:val="24"/>
          <w:szCs w:val="24"/>
        </w:rPr>
        <w:t>:”</w:t>
      </w:r>
      <w:r w:rsidR="001812F5" w:rsidRPr="00F06BC5">
        <w:rPr>
          <w:rFonts w:ascii="Arial" w:hAnsi="Arial" w:cs="Arial"/>
          <w:sz w:val="24"/>
          <w:szCs w:val="24"/>
        </w:rPr>
        <w:t xml:space="preserve">El problema de la extimidad es que el Otro es Otro dentro de </w:t>
      </w:r>
      <w:r w:rsidR="005D4E56" w:rsidRPr="00F06BC5">
        <w:rPr>
          <w:rFonts w:ascii="Arial" w:hAnsi="Arial" w:cs="Arial"/>
          <w:sz w:val="24"/>
          <w:szCs w:val="24"/>
        </w:rPr>
        <w:t>sí</w:t>
      </w:r>
      <w:r w:rsidR="001812F5" w:rsidRPr="00F06BC5">
        <w:rPr>
          <w:rFonts w:ascii="Arial" w:hAnsi="Arial" w:cs="Arial"/>
          <w:sz w:val="24"/>
          <w:szCs w:val="24"/>
        </w:rPr>
        <w:t xml:space="preserve"> mismo. Se odia al propio goce. Te odio porque no gozas como yo. El Otro es lo imposible de soportar para el sujeto”. A partir de allí me surge una pregunta sobre la relación entre la violencia y el cuerpo</w:t>
      </w:r>
      <w:r w:rsidR="001F29B1">
        <w:rPr>
          <w:rFonts w:ascii="Arial" w:hAnsi="Arial" w:cs="Arial"/>
          <w:sz w:val="24"/>
          <w:szCs w:val="24"/>
        </w:rPr>
        <w:t xml:space="preserve"> y por supuesto la relación del sujeto con su propio cuerpo</w:t>
      </w:r>
      <w:r w:rsidR="005D4E56">
        <w:rPr>
          <w:rFonts w:ascii="Arial" w:hAnsi="Arial" w:cs="Arial"/>
          <w:sz w:val="24"/>
          <w:szCs w:val="24"/>
        </w:rPr>
        <w:t>. Pesquiso</w:t>
      </w:r>
      <w:r w:rsidR="001F29B1">
        <w:rPr>
          <w:rFonts w:ascii="Arial" w:hAnsi="Arial" w:cs="Arial"/>
          <w:sz w:val="24"/>
          <w:szCs w:val="24"/>
        </w:rPr>
        <w:t xml:space="preserve"> algunas coordenadas para pensarla, </w:t>
      </w:r>
      <w:r w:rsidR="006A3FB9" w:rsidRPr="00F06BC5">
        <w:rPr>
          <w:rFonts w:ascii="Arial" w:hAnsi="Arial" w:cs="Arial"/>
          <w:sz w:val="24"/>
          <w:szCs w:val="24"/>
        </w:rPr>
        <w:t>“goce en el cuerpo del otro que no se soporta y lleva al punto de ne</w:t>
      </w:r>
      <w:r w:rsidR="00AF41E6">
        <w:rPr>
          <w:rFonts w:ascii="Arial" w:hAnsi="Arial" w:cs="Arial"/>
          <w:sz w:val="24"/>
          <w:szCs w:val="24"/>
        </w:rPr>
        <w:t>cesitar eliminarlo. Y que este O</w:t>
      </w:r>
      <w:r w:rsidR="006A3FB9" w:rsidRPr="00F06BC5">
        <w:rPr>
          <w:rFonts w:ascii="Arial" w:hAnsi="Arial" w:cs="Arial"/>
          <w:sz w:val="24"/>
          <w:szCs w:val="24"/>
        </w:rPr>
        <w:t>tro podría ser incluso el cuerpo propio”.</w:t>
      </w:r>
      <w:r w:rsidR="002A3B7D">
        <w:rPr>
          <w:rFonts w:ascii="Arial" w:hAnsi="Arial" w:cs="Arial"/>
          <w:sz w:val="24"/>
          <w:szCs w:val="24"/>
        </w:rPr>
        <w:t xml:space="preserve"> Es un odio al goce, al que Lacan hace alusión con el neologismo, </w:t>
      </w:r>
      <w:proofErr w:type="spellStart"/>
      <w:r w:rsidR="002A3B7D">
        <w:rPr>
          <w:rFonts w:ascii="Arial" w:hAnsi="Arial" w:cs="Arial"/>
          <w:sz w:val="24"/>
          <w:szCs w:val="24"/>
        </w:rPr>
        <w:t>odioenamoramiento</w:t>
      </w:r>
      <w:proofErr w:type="spellEnd"/>
      <w:r w:rsidR="002A3B7D">
        <w:rPr>
          <w:rFonts w:ascii="Arial" w:hAnsi="Arial" w:cs="Arial"/>
          <w:sz w:val="24"/>
          <w:szCs w:val="24"/>
        </w:rPr>
        <w:t>.</w:t>
      </w:r>
    </w:p>
    <w:p w:rsidR="007557B3" w:rsidRDefault="006A3FB9" w:rsidP="0053065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06BC5">
        <w:rPr>
          <w:rFonts w:ascii="Arial" w:hAnsi="Arial" w:cs="Arial"/>
          <w:sz w:val="24"/>
          <w:szCs w:val="24"/>
        </w:rPr>
        <w:t>En la respues</w:t>
      </w:r>
      <w:r w:rsidR="000A680B">
        <w:rPr>
          <w:rFonts w:ascii="Arial" w:hAnsi="Arial" w:cs="Arial"/>
          <w:sz w:val="24"/>
          <w:szCs w:val="24"/>
        </w:rPr>
        <w:t xml:space="preserve">ta a Marcel </w:t>
      </w:r>
      <w:proofErr w:type="spellStart"/>
      <w:r w:rsidR="000A680B">
        <w:rPr>
          <w:rFonts w:ascii="Arial" w:hAnsi="Arial" w:cs="Arial"/>
          <w:sz w:val="24"/>
          <w:szCs w:val="24"/>
        </w:rPr>
        <w:t>Ritter</w:t>
      </w:r>
      <w:proofErr w:type="spellEnd"/>
      <w:r w:rsidR="000A680B">
        <w:rPr>
          <w:rFonts w:ascii="Arial" w:hAnsi="Arial" w:cs="Arial"/>
          <w:sz w:val="24"/>
          <w:szCs w:val="24"/>
        </w:rPr>
        <w:t xml:space="preserve">, </w:t>
      </w:r>
      <w:r w:rsidR="00F06BC5" w:rsidRPr="00F06BC5">
        <w:rPr>
          <w:rFonts w:ascii="Arial" w:hAnsi="Arial" w:cs="Arial"/>
          <w:sz w:val="24"/>
          <w:szCs w:val="24"/>
        </w:rPr>
        <w:t xml:space="preserve">las intervenciones son orientadas hacia un </w:t>
      </w:r>
      <w:proofErr w:type="spellStart"/>
      <w:r w:rsidR="00F06BC5" w:rsidRPr="00F06BC5">
        <w:rPr>
          <w:rFonts w:ascii="Arial" w:hAnsi="Arial" w:cs="Arial"/>
          <w:sz w:val="24"/>
          <w:szCs w:val="24"/>
        </w:rPr>
        <w:t>Unnerkant</w:t>
      </w:r>
      <w:proofErr w:type="spellEnd"/>
      <w:r w:rsidR="00F06BC5" w:rsidRPr="00F06BC5">
        <w:rPr>
          <w:rFonts w:ascii="Arial" w:hAnsi="Arial" w:cs="Arial"/>
          <w:sz w:val="24"/>
          <w:szCs w:val="24"/>
        </w:rPr>
        <w:t xml:space="preserve"> (lo no reconocido). Entendido como lo reprimido primordial, aquello de lo no se puede decir nada, a pesar de la proximidad y de encontrarse en la raíz del lenguaje. Aquello a lo que Freud designaba como ombligo del sueño y se presen</w:t>
      </w:r>
      <w:r w:rsidR="00530657">
        <w:rPr>
          <w:rFonts w:ascii="Arial" w:hAnsi="Arial" w:cs="Arial"/>
          <w:sz w:val="24"/>
          <w:szCs w:val="24"/>
        </w:rPr>
        <w:t xml:space="preserve">ta como el límite del análisis. </w:t>
      </w:r>
      <w:r w:rsidR="001248C4">
        <w:rPr>
          <w:rFonts w:ascii="Arial" w:hAnsi="Arial" w:cs="Arial"/>
          <w:sz w:val="24"/>
          <w:szCs w:val="24"/>
        </w:rPr>
        <w:t xml:space="preserve">Este real que siempre permanecerá opaco. </w:t>
      </w:r>
      <w:r w:rsidR="00530657">
        <w:rPr>
          <w:rFonts w:ascii="Arial" w:hAnsi="Arial" w:cs="Arial"/>
          <w:sz w:val="24"/>
          <w:szCs w:val="24"/>
        </w:rPr>
        <w:t>Aquello que en el seminario 23 Lacan refiere como lo que no cesa de no escribirse.</w:t>
      </w:r>
    </w:p>
    <w:p w:rsidR="00530657" w:rsidRPr="00530657" w:rsidRDefault="001248C4" w:rsidP="0053065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Miquel </w:t>
      </w:r>
      <w:proofErr w:type="spellStart"/>
      <w:r>
        <w:rPr>
          <w:rFonts w:ascii="Arial" w:hAnsi="Arial" w:cs="Arial"/>
          <w:sz w:val="24"/>
          <w:szCs w:val="24"/>
        </w:rPr>
        <w:t>Bassols</w:t>
      </w:r>
      <w:proofErr w:type="spellEnd"/>
      <w:r w:rsidR="003B03C7">
        <w:rPr>
          <w:rFonts w:ascii="Arial" w:hAnsi="Arial" w:cs="Arial"/>
          <w:sz w:val="24"/>
          <w:szCs w:val="24"/>
        </w:rPr>
        <w:t xml:space="preserve">, </w:t>
      </w:r>
      <w:r w:rsidR="00B03FCE">
        <w:rPr>
          <w:rFonts w:ascii="Arial" w:hAnsi="Arial" w:cs="Arial"/>
          <w:sz w:val="24"/>
          <w:szCs w:val="24"/>
        </w:rPr>
        <w:t xml:space="preserve">toma la historia que se </w:t>
      </w:r>
      <w:r w:rsidR="00175719">
        <w:rPr>
          <w:rFonts w:ascii="Arial" w:hAnsi="Arial" w:cs="Arial"/>
          <w:sz w:val="24"/>
          <w:szCs w:val="24"/>
        </w:rPr>
        <w:t xml:space="preserve">desarrolla en </w:t>
      </w:r>
      <w:r w:rsidR="00530657">
        <w:rPr>
          <w:rFonts w:ascii="Arial" w:hAnsi="Arial" w:cs="Arial"/>
          <w:sz w:val="24"/>
          <w:szCs w:val="24"/>
        </w:rPr>
        <w:t>Europa Oriental</w:t>
      </w:r>
      <w:r w:rsidR="003B03C7">
        <w:rPr>
          <w:rFonts w:ascii="Arial" w:hAnsi="Arial" w:cs="Arial"/>
          <w:sz w:val="24"/>
          <w:szCs w:val="24"/>
        </w:rPr>
        <w:t>,</w:t>
      </w:r>
      <w:r w:rsidR="00530657">
        <w:rPr>
          <w:rFonts w:ascii="Arial" w:hAnsi="Arial" w:cs="Arial"/>
          <w:sz w:val="24"/>
          <w:szCs w:val="24"/>
        </w:rPr>
        <w:t xml:space="preserve"> en la época en la que todavía existía e</w:t>
      </w:r>
      <w:r w:rsidR="001F29B1">
        <w:rPr>
          <w:rFonts w:ascii="Arial" w:hAnsi="Arial" w:cs="Arial"/>
          <w:sz w:val="24"/>
          <w:szCs w:val="24"/>
        </w:rPr>
        <w:t>l telón de acero</w:t>
      </w:r>
      <w:r w:rsidR="00FF3ED1">
        <w:rPr>
          <w:rFonts w:ascii="Arial" w:hAnsi="Arial" w:cs="Arial"/>
          <w:sz w:val="24"/>
          <w:szCs w:val="24"/>
        </w:rPr>
        <w:t xml:space="preserve"> que dividía</w:t>
      </w:r>
      <w:r w:rsidR="001F29B1">
        <w:rPr>
          <w:rFonts w:ascii="Arial" w:hAnsi="Arial" w:cs="Arial"/>
          <w:sz w:val="24"/>
          <w:szCs w:val="24"/>
        </w:rPr>
        <w:t xml:space="preserve"> Europa, Alemania </w:t>
      </w:r>
      <w:r>
        <w:rPr>
          <w:rFonts w:ascii="Arial" w:hAnsi="Arial" w:cs="Arial"/>
          <w:sz w:val="24"/>
          <w:szCs w:val="24"/>
        </w:rPr>
        <w:t>Oriental</w:t>
      </w:r>
      <w:r w:rsidR="00175719">
        <w:rPr>
          <w:rFonts w:ascii="Arial" w:hAnsi="Arial" w:cs="Arial"/>
          <w:sz w:val="24"/>
          <w:szCs w:val="24"/>
        </w:rPr>
        <w:t xml:space="preserve"> y Alemania Occidental, y dice </w:t>
      </w:r>
      <w:r w:rsidR="007557B3">
        <w:rPr>
          <w:rFonts w:ascii="Arial" w:hAnsi="Arial" w:cs="Arial"/>
          <w:sz w:val="24"/>
          <w:szCs w:val="24"/>
        </w:rPr>
        <w:t>así</w:t>
      </w:r>
      <w:r w:rsidR="00175719">
        <w:rPr>
          <w:rFonts w:ascii="Arial" w:hAnsi="Arial" w:cs="Arial"/>
          <w:sz w:val="24"/>
          <w:szCs w:val="24"/>
        </w:rPr>
        <w:t>: Un</w:t>
      </w:r>
      <w:r w:rsidR="001F29B1">
        <w:rPr>
          <w:rFonts w:ascii="Arial" w:hAnsi="Arial" w:cs="Arial"/>
          <w:sz w:val="24"/>
          <w:szCs w:val="24"/>
        </w:rPr>
        <w:t xml:space="preserve"> hombre de la </w:t>
      </w:r>
      <w:r w:rsidR="00175719">
        <w:rPr>
          <w:rFonts w:ascii="Arial" w:hAnsi="Arial" w:cs="Arial"/>
          <w:sz w:val="24"/>
          <w:szCs w:val="24"/>
        </w:rPr>
        <w:t>antigua Alemania Oriental, fue</w:t>
      </w:r>
      <w:r w:rsidR="001F29B1">
        <w:rPr>
          <w:rFonts w:ascii="Arial" w:hAnsi="Arial" w:cs="Arial"/>
          <w:sz w:val="24"/>
          <w:szCs w:val="24"/>
        </w:rPr>
        <w:t xml:space="preserve"> deportado a Siberia, y antes de marc</w:t>
      </w:r>
      <w:r>
        <w:rPr>
          <w:rFonts w:ascii="Arial" w:hAnsi="Arial" w:cs="Arial"/>
          <w:sz w:val="24"/>
          <w:szCs w:val="24"/>
        </w:rPr>
        <w:t>h</w:t>
      </w:r>
      <w:r w:rsidR="001F29B1">
        <w:rPr>
          <w:rFonts w:ascii="Arial" w:hAnsi="Arial" w:cs="Arial"/>
          <w:sz w:val="24"/>
          <w:szCs w:val="24"/>
        </w:rPr>
        <w:t xml:space="preserve">ar, sabiendo que sus mensajes serán leídos por la cesura, les dice a sus amigos lo siguiente: “Establezcamos un código. Si recibís una carta mía escrita en tinta azul, todo lo que os cuente es verdad. Si </w:t>
      </w:r>
      <w:r w:rsidR="00FF3ED1">
        <w:rPr>
          <w:rFonts w:ascii="Arial" w:hAnsi="Arial" w:cs="Arial"/>
          <w:sz w:val="24"/>
          <w:szCs w:val="24"/>
        </w:rPr>
        <w:t>está</w:t>
      </w:r>
      <w:r w:rsidR="001F29B1">
        <w:rPr>
          <w:rFonts w:ascii="Arial" w:hAnsi="Arial" w:cs="Arial"/>
          <w:sz w:val="24"/>
          <w:szCs w:val="24"/>
        </w:rPr>
        <w:t xml:space="preserve"> </w:t>
      </w:r>
      <w:r w:rsidR="00FF3ED1">
        <w:rPr>
          <w:rFonts w:ascii="Arial" w:hAnsi="Arial" w:cs="Arial"/>
          <w:sz w:val="24"/>
          <w:szCs w:val="24"/>
        </w:rPr>
        <w:t>escrita</w:t>
      </w:r>
      <w:r w:rsidR="001F29B1">
        <w:rPr>
          <w:rFonts w:ascii="Arial" w:hAnsi="Arial" w:cs="Arial"/>
          <w:sz w:val="24"/>
          <w:szCs w:val="24"/>
        </w:rPr>
        <w:t xml:space="preserve"> en roja, todo lo que escribo es fal</w:t>
      </w:r>
      <w:r w:rsidR="00FF3ED1">
        <w:rPr>
          <w:rFonts w:ascii="Arial" w:hAnsi="Arial" w:cs="Arial"/>
          <w:sz w:val="24"/>
          <w:szCs w:val="24"/>
        </w:rPr>
        <w:t>s</w:t>
      </w:r>
      <w:r w:rsidR="001F29B1">
        <w:rPr>
          <w:rFonts w:ascii="Arial" w:hAnsi="Arial" w:cs="Arial"/>
          <w:sz w:val="24"/>
          <w:szCs w:val="24"/>
        </w:rPr>
        <w:t>o”. Al cabo de un mes les llega una carta escrita en tinta azul dicien</w:t>
      </w:r>
      <w:r>
        <w:rPr>
          <w:rFonts w:ascii="Arial" w:hAnsi="Arial" w:cs="Arial"/>
          <w:sz w:val="24"/>
          <w:szCs w:val="24"/>
        </w:rPr>
        <w:t>d</w:t>
      </w:r>
      <w:r w:rsidR="001F29B1">
        <w:rPr>
          <w:rFonts w:ascii="Arial" w:hAnsi="Arial" w:cs="Arial"/>
          <w:sz w:val="24"/>
          <w:szCs w:val="24"/>
        </w:rPr>
        <w:t>o lo siguiente:” Aquí todo es estupendo”, en la Siberia, “las</w:t>
      </w:r>
      <w:r w:rsidR="003B03C7">
        <w:rPr>
          <w:rFonts w:ascii="Arial" w:hAnsi="Arial" w:cs="Arial"/>
          <w:sz w:val="24"/>
          <w:szCs w:val="24"/>
        </w:rPr>
        <w:t xml:space="preserve"> casas son amplias y es</w:t>
      </w:r>
      <w:r w:rsidR="00057A1F">
        <w:rPr>
          <w:rFonts w:ascii="Arial" w:hAnsi="Arial" w:cs="Arial"/>
          <w:sz w:val="24"/>
          <w:szCs w:val="24"/>
        </w:rPr>
        <w:t>paciosas. En las calles hay todo</w:t>
      </w:r>
      <w:r w:rsidR="003B03C7">
        <w:rPr>
          <w:rFonts w:ascii="Arial" w:hAnsi="Arial" w:cs="Arial"/>
          <w:sz w:val="24"/>
          <w:szCs w:val="24"/>
        </w:rPr>
        <w:t xml:space="preserve"> tipo de tiendas y espectáculos. E</w:t>
      </w:r>
      <w:r w:rsidR="001F29B1">
        <w:rPr>
          <w:rFonts w:ascii="Arial" w:hAnsi="Arial" w:cs="Arial"/>
          <w:sz w:val="24"/>
          <w:szCs w:val="24"/>
        </w:rPr>
        <w:t>n los cines podemos ver t</w:t>
      </w:r>
      <w:r w:rsidR="003B03C7">
        <w:rPr>
          <w:rFonts w:ascii="Arial" w:hAnsi="Arial" w:cs="Arial"/>
          <w:sz w:val="24"/>
          <w:szCs w:val="24"/>
        </w:rPr>
        <w:t>odas las películas de Hollywood.</w:t>
      </w:r>
      <w:r w:rsidR="001F29B1">
        <w:rPr>
          <w:rFonts w:ascii="Arial" w:hAnsi="Arial" w:cs="Arial"/>
          <w:sz w:val="24"/>
          <w:szCs w:val="24"/>
        </w:rPr>
        <w:t xml:space="preserve"> </w:t>
      </w:r>
      <w:r w:rsidR="003B03C7">
        <w:rPr>
          <w:rFonts w:ascii="Arial" w:hAnsi="Arial" w:cs="Arial"/>
          <w:sz w:val="24"/>
          <w:szCs w:val="24"/>
        </w:rPr>
        <w:t>Podemos</w:t>
      </w:r>
      <w:r w:rsidR="001F29B1">
        <w:rPr>
          <w:rFonts w:ascii="Arial" w:hAnsi="Arial" w:cs="Arial"/>
          <w:sz w:val="24"/>
          <w:szCs w:val="24"/>
        </w:rPr>
        <w:t xml:space="preserve"> conseguir y comprar todo lo que queremos, lo único que no podemos conseguir es tinta roja”. </w:t>
      </w:r>
    </w:p>
    <w:p w:rsidR="00B50EF6" w:rsidRDefault="006A3FB9" w:rsidP="002A3B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A3B7D">
        <w:rPr>
          <w:rFonts w:ascii="Arial" w:hAnsi="Arial" w:cs="Arial"/>
          <w:sz w:val="24"/>
          <w:szCs w:val="24"/>
        </w:rPr>
        <w:lastRenderedPageBreak/>
        <w:t>En definitiva</w:t>
      </w:r>
      <w:r w:rsidR="003B03C7">
        <w:rPr>
          <w:rFonts w:ascii="Arial" w:hAnsi="Arial" w:cs="Arial"/>
          <w:sz w:val="24"/>
          <w:szCs w:val="24"/>
        </w:rPr>
        <w:t>,</w:t>
      </w:r>
      <w:r w:rsidRPr="002A3B7D">
        <w:rPr>
          <w:rFonts w:ascii="Arial" w:hAnsi="Arial" w:cs="Arial"/>
          <w:sz w:val="24"/>
          <w:szCs w:val="24"/>
        </w:rPr>
        <w:t xml:space="preserve"> que sabemos de nosotros mismos </w:t>
      </w:r>
      <w:r w:rsidR="00F06BC5" w:rsidRPr="002A3B7D">
        <w:rPr>
          <w:rFonts w:ascii="Arial" w:hAnsi="Arial" w:cs="Arial"/>
          <w:sz w:val="24"/>
          <w:szCs w:val="24"/>
        </w:rPr>
        <w:t>más</w:t>
      </w:r>
      <w:r w:rsidRPr="002A3B7D">
        <w:rPr>
          <w:rFonts w:ascii="Arial" w:hAnsi="Arial" w:cs="Arial"/>
          <w:sz w:val="24"/>
          <w:szCs w:val="24"/>
        </w:rPr>
        <w:t xml:space="preserve"> que las elucubraciones que hacemos sobre aquel real reprimido primordialmente</w:t>
      </w:r>
      <w:r w:rsidR="003B03C7">
        <w:rPr>
          <w:rFonts w:ascii="Arial" w:hAnsi="Arial" w:cs="Arial"/>
          <w:sz w:val="24"/>
          <w:szCs w:val="24"/>
        </w:rPr>
        <w:t>,</w:t>
      </w:r>
      <w:r w:rsidRPr="002A3B7D">
        <w:rPr>
          <w:rFonts w:ascii="Arial" w:hAnsi="Arial" w:cs="Arial"/>
          <w:sz w:val="24"/>
          <w:szCs w:val="24"/>
        </w:rPr>
        <w:t xml:space="preserve"> y del que solo podemos pesquisar </w:t>
      </w:r>
      <w:r w:rsidR="001F29B1">
        <w:rPr>
          <w:rFonts w:ascii="Arial" w:hAnsi="Arial" w:cs="Arial"/>
          <w:sz w:val="24"/>
          <w:szCs w:val="24"/>
        </w:rPr>
        <w:t xml:space="preserve">algunos </w:t>
      </w:r>
      <w:r w:rsidR="000A680B">
        <w:rPr>
          <w:rFonts w:ascii="Arial" w:hAnsi="Arial" w:cs="Arial"/>
          <w:sz w:val="24"/>
          <w:szCs w:val="24"/>
        </w:rPr>
        <w:t>fragmentos.</w:t>
      </w:r>
      <w:r w:rsidR="001F29B1">
        <w:rPr>
          <w:rFonts w:ascii="Arial" w:hAnsi="Arial" w:cs="Arial"/>
          <w:sz w:val="24"/>
          <w:szCs w:val="24"/>
        </w:rPr>
        <w:t xml:space="preserve"> No contamos con esa tinta roja que permita otra cosa. </w:t>
      </w:r>
    </w:p>
    <w:p w:rsidR="00445D5B" w:rsidRDefault="00445D5B" w:rsidP="002A3B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Bibliografía:</w:t>
      </w:r>
    </w:p>
    <w:p w:rsidR="009163DC" w:rsidRDefault="009163DC" w:rsidP="002A3B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-Lacan, J. Seminario 23: El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Sinthome</w:t>
      </w:r>
      <w:proofErr w:type="spellEnd"/>
      <w:r>
        <w:rPr>
          <w:rFonts w:ascii="Arial" w:hAnsi="Arial" w:cs="Arial"/>
          <w:sz w:val="24"/>
          <w:szCs w:val="24"/>
        </w:rPr>
        <w:t>,.</w:t>
      </w:r>
      <w:proofErr w:type="gramEnd"/>
      <w:r>
        <w:rPr>
          <w:rFonts w:ascii="Arial" w:hAnsi="Arial" w:cs="Arial"/>
          <w:sz w:val="24"/>
          <w:szCs w:val="24"/>
        </w:rPr>
        <w:t xml:space="preserve"> Paidós. 2005.</w:t>
      </w:r>
    </w:p>
    <w:p w:rsidR="009163DC" w:rsidRDefault="009163DC" w:rsidP="002A3B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-Lacan, J. Respuesta a Marcel </w:t>
      </w:r>
      <w:proofErr w:type="spellStart"/>
      <w:r>
        <w:rPr>
          <w:rFonts w:ascii="Arial" w:hAnsi="Arial" w:cs="Arial"/>
          <w:sz w:val="24"/>
          <w:szCs w:val="24"/>
        </w:rPr>
        <w:t>Ritter</w:t>
      </w:r>
      <w:proofErr w:type="spellEnd"/>
      <w:r>
        <w:rPr>
          <w:rFonts w:ascii="Arial" w:hAnsi="Arial" w:cs="Arial"/>
          <w:sz w:val="24"/>
          <w:szCs w:val="24"/>
        </w:rPr>
        <w:t xml:space="preserve">. Publicado en las </w:t>
      </w:r>
      <w:proofErr w:type="spellStart"/>
      <w:r>
        <w:rPr>
          <w:rFonts w:ascii="Arial" w:hAnsi="Arial" w:cs="Arial"/>
          <w:sz w:val="24"/>
          <w:szCs w:val="24"/>
        </w:rPr>
        <w:t>Letres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l´Ecole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Freudianne</w:t>
      </w:r>
      <w:proofErr w:type="spellEnd"/>
      <w:r>
        <w:rPr>
          <w:rFonts w:ascii="Arial" w:hAnsi="Arial" w:cs="Arial"/>
          <w:sz w:val="24"/>
          <w:szCs w:val="24"/>
        </w:rPr>
        <w:t xml:space="preserve">. 1976. </w:t>
      </w:r>
    </w:p>
    <w:p w:rsidR="00445D5B" w:rsidRDefault="00445D5B" w:rsidP="002A3B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-M. </w:t>
      </w:r>
      <w:proofErr w:type="spellStart"/>
      <w:r>
        <w:rPr>
          <w:rFonts w:ascii="Arial" w:hAnsi="Arial" w:cs="Arial"/>
          <w:sz w:val="24"/>
          <w:szCs w:val="24"/>
        </w:rPr>
        <w:t>Morao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comp.</w:t>
      </w:r>
      <w:proofErr w:type="spellEnd"/>
      <w:r>
        <w:rPr>
          <w:rFonts w:ascii="Arial" w:hAnsi="Arial" w:cs="Arial"/>
          <w:sz w:val="24"/>
          <w:szCs w:val="24"/>
        </w:rPr>
        <w:t xml:space="preserve"> Violencia y Radicalización. Grama</w:t>
      </w:r>
      <w:r w:rsidR="009163DC">
        <w:rPr>
          <w:rFonts w:ascii="Arial" w:hAnsi="Arial" w:cs="Arial"/>
          <w:sz w:val="24"/>
          <w:szCs w:val="24"/>
        </w:rPr>
        <w:t>. Buenos Aires. 2016.</w:t>
      </w:r>
    </w:p>
    <w:p w:rsidR="009163DC" w:rsidRDefault="009163DC" w:rsidP="002A3B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proofErr w:type="spellStart"/>
      <w:r>
        <w:rPr>
          <w:rFonts w:ascii="Arial" w:hAnsi="Arial" w:cs="Arial"/>
          <w:sz w:val="24"/>
          <w:szCs w:val="24"/>
        </w:rPr>
        <w:t>Stiglitz</w:t>
      </w:r>
      <w:proofErr w:type="spellEnd"/>
      <w:r>
        <w:rPr>
          <w:rFonts w:ascii="Arial" w:hAnsi="Arial" w:cs="Arial"/>
          <w:sz w:val="24"/>
          <w:szCs w:val="24"/>
        </w:rPr>
        <w:t>, G. Coloquio de extimidad. Buenos Aires. Grama, EOL, 2011.</w:t>
      </w:r>
    </w:p>
    <w:p w:rsidR="009163DC" w:rsidRDefault="009163DC" w:rsidP="002A3B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F29B1" w:rsidRPr="002A3B7D" w:rsidRDefault="001F29B1" w:rsidP="002A3B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86FCB" w:rsidRPr="000D5798" w:rsidRDefault="00686FCB" w:rsidP="000D5798">
      <w:pPr>
        <w:tabs>
          <w:tab w:val="left" w:pos="3583"/>
        </w:tabs>
        <w:rPr>
          <w:sz w:val="24"/>
        </w:rPr>
      </w:pPr>
    </w:p>
    <w:sectPr w:rsidR="00686FCB" w:rsidRPr="000D57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ED9"/>
    <w:rsid w:val="00057A1F"/>
    <w:rsid w:val="000A680B"/>
    <w:rsid w:val="000D5798"/>
    <w:rsid w:val="001248C4"/>
    <w:rsid w:val="00175719"/>
    <w:rsid w:val="001812F5"/>
    <w:rsid w:val="001F29B1"/>
    <w:rsid w:val="00221FF6"/>
    <w:rsid w:val="002A3B7D"/>
    <w:rsid w:val="00306608"/>
    <w:rsid w:val="003B03C7"/>
    <w:rsid w:val="00445D5B"/>
    <w:rsid w:val="00530657"/>
    <w:rsid w:val="00581E97"/>
    <w:rsid w:val="005D4E56"/>
    <w:rsid w:val="00686FCB"/>
    <w:rsid w:val="006A3FB9"/>
    <w:rsid w:val="006F6B50"/>
    <w:rsid w:val="007557B3"/>
    <w:rsid w:val="009163DC"/>
    <w:rsid w:val="009B5B24"/>
    <w:rsid w:val="00A05CB9"/>
    <w:rsid w:val="00AB21E7"/>
    <w:rsid w:val="00AF41E6"/>
    <w:rsid w:val="00B03FCE"/>
    <w:rsid w:val="00B50EF6"/>
    <w:rsid w:val="00B55E11"/>
    <w:rsid w:val="00B81ED9"/>
    <w:rsid w:val="00BE1C07"/>
    <w:rsid w:val="00BF7714"/>
    <w:rsid w:val="00D3652F"/>
    <w:rsid w:val="00E60CEA"/>
    <w:rsid w:val="00EB24B7"/>
    <w:rsid w:val="00EE79D6"/>
    <w:rsid w:val="00F06BC5"/>
    <w:rsid w:val="00FC48CA"/>
    <w:rsid w:val="00FD48DC"/>
    <w:rsid w:val="00FF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633D2B-BE66-4280-AC4E-6F9343C8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Hernán Mendizabal</cp:lastModifiedBy>
  <cp:revision>2</cp:revision>
  <dcterms:created xsi:type="dcterms:W3CDTF">2020-12-21T16:05:00Z</dcterms:created>
  <dcterms:modified xsi:type="dcterms:W3CDTF">2020-12-21T16:05:00Z</dcterms:modified>
</cp:coreProperties>
</file>